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d338462224b8c" /></Relationships>
</file>

<file path=word/document.xml><?xml version="1.0" encoding="utf-8"?>
<w:document xmlns:w="http://schemas.openxmlformats.org/wordprocessingml/2006/main">
  <w:body>
    <w:p>
      <w:r>
        <w:t>H-3794.1</w:t>
      </w:r>
    </w:p>
    <w:p>
      <w:pPr>
        <w:jc w:val="center"/>
      </w:pPr>
      <w:r>
        <w:t>_______________________________________________</w:t>
      </w:r>
    </w:p>
    <w:p/>
    <w:p>
      <w:pPr>
        <w:jc w:val="center"/>
      </w:pPr>
      <w:r>
        <w:rPr>
          <w:b/>
        </w:rPr>
        <w:t>HOUSE BILL 2866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Johnson, Tarleton, Chandler, Moscoso, Buys, Van Werven, Manweller, Haler, and Stanford</w:t>
      </w:r>
    </w:p>
    <w:p/>
    <w:p>
      <w:r>
        <w:rPr>
          <w:t xml:space="preserve">Read first time 01/25/16.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joint select committee to investigate the creation of a Washington state council for the Pacific Northwest economic region;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joint select committee on the creation of a Washington state council for the Pacific Northwest economic region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(b) The committee shall choose its chair from among its membership.</w:t>
      </w:r>
    </w:p>
    <w:p>
      <w:pPr>
        <w:spacing w:before="0" w:after="0" w:line="408" w:lineRule="exact"/>
        <w:ind w:left="0" w:right="0" w:firstLine="576"/>
        <w:jc w:val="left"/>
      </w:pPr>
      <w:r>
        <w:rPr/>
        <w:t xml:space="preserve">(2) The joint select committee shall review the costs and benefits of creating a Washington state council for the Pacific Northwest economic region and investigate possible avenues to expand cross-border partnership on substantive issues such as:</w:t>
      </w:r>
    </w:p>
    <w:p>
      <w:pPr>
        <w:spacing w:before="0" w:after="0" w:line="408" w:lineRule="exact"/>
        <w:ind w:left="0" w:right="0" w:firstLine="576"/>
        <w:jc w:val="left"/>
      </w:pPr>
      <w:r>
        <w:rPr/>
        <w:t xml:space="preserve">(a) Sewage treatment and disposal by Victoria, British Columbia;</w:t>
      </w:r>
    </w:p>
    <w:p>
      <w:pPr>
        <w:spacing w:before="0" w:after="0" w:line="408" w:lineRule="exact"/>
        <w:ind w:left="0" w:right="0" w:firstLine="576"/>
        <w:jc w:val="left"/>
      </w:pPr>
      <w:r>
        <w:rPr/>
        <w:t xml:space="preserve">(b) Customs preclearance for cruise ships, railroads, and frequent travelers;</w:t>
      </w:r>
    </w:p>
    <w:p>
      <w:pPr>
        <w:spacing w:before="0" w:after="0" w:line="408" w:lineRule="exact"/>
        <w:ind w:left="0" w:right="0" w:firstLine="576"/>
        <w:jc w:val="left"/>
      </w:pPr>
      <w:r>
        <w:rPr/>
        <w:t xml:space="preserve">(c) Workforce and professional license reciprocity;</w:t>
      </w:r>
    </w:p>
    <w:p>
      <w:pPr>
        <w:spacing w:before="0" w:after="0" w:line="408" w:lineRule="exact"/>
        <w:ind w:left="0" w:right="0" w:firstLine="576"/>
        <w:jc w:val="left"/>
      </w:pPr>
      <w:r>
        <w:rPr/>
        <w:t xml:space="preserve">(d) Invasive species;</w:t>
      </w:r>
    </w:p>
    <w:p>
      <w:pPr>
        <w:spacing w:before="0" w:after="0" w:line="408" w:lineRule="exact"/>
        <w:ind w:left="0" w:right="0" w:firstLine="576"/>
        <w:jc w:val="left"/>
      </w:pPr>
      <w:r>
        <w:rPr/>
        <w:t xml:space="preserve">(e) Mining;</w:t>
      </w:r>
    </w:p>
    <w:p>
      <w:pPr>
        <w:spacing w:before="0" w:after="0" w:line="408" w:lineRule="exact"/>
        <w:ind w:left="0" w:right="0" w:firstLine="576"/>
        <w:jc w:val="left"/>
      </w:pPr>
      <w:r>
        <w:rPr/>
        <w:t xml:space="preserve">(f) International trade agreements, harmonization, and good neighbor agreements;</w:t>
      </w:r>
    </w:p>
    <w:p>
      <w:pPr>
        <w:spacing w:before="0" w:after="0" w:line="408" w:lineRule="exact"/>
        <w:ind w:left="0" w:right="0" w:firstLine="576"/>
        <w:jc w:val="left"/>
      </w:pPr>
      <w:r>
        <w:rPr/>
        <w:t xml:space="preserve">(g) Expanding tourism;</w:t>
      </w:r>
    </w:p>
    <w:p>
      <w:pPr>
        <w:spacing w:before="0" w:after="0" w:line="408" w:lineRule="exact"/>
        <w:ind w:left="0" w:right="0" w:firstLine="576"/>
        <w:jc w:val="left"/>
      </w:pPr>
      <w:r>
        <w:rPr/>
        <w:t xml:space="preserve">(h) Energy and environmental challenges;</w:t>
      </w:r>
    </w:p>
    <w:p>
      <w:pPr>
        <w:spacing w:before="0" w:after="0" w:line="408" w:lineRule="exact"/>
        <w:ind w:left="0" w:right="0" w:firstLine="576"/>
        <w:jc w:val="left"/>
      </w:pPr>
      <w:r>
        <w:rPr/>
        <w:t xml:space="preserve">(i) Regional carbon and low carbon economy matters;</w:t>
      </w:r>
    </w:p>
    <w:p>
      <w:pPr>
        <w:spacing w:before="0" w:after="0" w:line="408" w:lineRule="exact"/>
        <w:ind w:left="0" w:right="0" w:firstLine="576"/>
        <w:jc w:val="left"/>
      </w:pPr>
      <w:r>
        <w:rPr/>
        <w:t xml:space="preserve">(j) The Columbia river treaty;</w:t>
      </w:r>
    </w:p>
    <w:p>
      <w:pPr>
        <w:spacing w:before="0" w:after="0" w:line="408" w:lineRule="exact"/>
        <w:ind w:left="0" w:right="0" w:firstLine="576"/>
        <w:jc w:val="left"/>
      </w:pPr>
      <w:r>
        <w:rPr/>
        <w:t xml:space="preserve">(k) Railroads;</w:t>
      </w:r>
    </w:p>
    <w:p>
      <w:pPr>
        <w:spacing w:before="0" w:after="0" w:line="408" w:lineRule="exact"/>
        <w:ind w:left="0" w:right="0" w:firstLine="576"/>
        <w:jc w:val="left"/>
      </w:pPr>
      <w:r>
        <w:rPr/>
        <w:t xml:space="preserve">(l) The establishment of regular joint cabinet meetings between regional entities; and</w:t>
      </w:r>
    </w:p>
    <w:p>
      <w:pPr>
        <w:spacing w:before="0" w:after="0" w:line="408" w:lineRule="exact"/>
        <w:ind w:left="0" w:right="0" w:firstLine="576"/>
        <w:jc w:val="left"/>
      </w:pPr>
      <w:r>
        <w:rPr/>
        <w:t xml:space="preserve">(m) Relations between states, tribes, and provinces.</w:t>
      </w:r>
    </w:p>
    <w:p>
      <w:pPr>
        <w:spacing w:before="0" w:after="0" w:line="408" w:lineRule="exact"/>
        <w:ind w:left="0" w:right="0" w:firstLine="576"/>
        <w:jc w:val="left"/>
      </w:pPr>
      <w:r>
        <w:rPr/>
        <w:t xml:space="preserve">(3) The joint select committee shall meet:</w:t>
      </w:r>
    </w:p>
    <w:p>
      <w:pPr>
        <w:spacing w:before="0" w:after="0" w:line="408" w:lineRule="exact"/>
        <w:ind w:left="0" w:right="0" w:firstLine="576"/>
        <w:jc w:val="left"/>
      </w:pPr>
      <w:r>
        <w:rPr/>
        <w:t xml:space="preserve">(a) Either three or four times in 2016, with each meeting in one of the following areas within Washington state and no more than one meeting in each area: Vancouver; Spokane; the Tri-Cities; and Bellingham or Seattle;</w:t>
      </w:r>
    </w:p>
    <w:p>
      <w:pPr>
        <w:spacing w:before="0" w:after="0" w:line="408" w:lineRule="exact"/>
        <w:ind w:left="0" w:right="0" w:firstLine="576"/>
        <w:jc w:val="left"/>
      </w:pPr>
      <w:r>
        <w:rPr/>
        <w:t xml:space="preserve">(b) Once with counterparts in British Columbia; and</w:t>
      </w:r>
    </w:p>
    <w:p>
      <w:pPr>
        <w:spacing w:before="0" w:after="0" w:line="408" w:lineRule="exact"/>
        <w:ind w:left="0" w:right="0" w:firstLine="576"/>
        <w:jc w:val="left"/>
      </w:pPr>
      <w:r>
        <w:rPr/>
        <w:t xml:space="preserve">(c) Once together with Pacific Northwest economic region colleagues from Alaska, Idaho, Oregon, and Montana.</w:t>
      </w:r>
    </w:p>
    <w:p>
      <w:pPr>
        <w:spacing w:before="0" w:after="0" w:line="408" w:lineRule="exact"/>
        <w:ind w:left="0" w:right="0" w:firstLine="576"/>
        <w:jc w:val="left"/>
      </w:pPr>
      <w:r>
        <w:rPr/>
        <w:t xml:space="preserve">(4) The joint select committee shall create and consult an advisory committee of stakeholders to assist in the development of recommendations under this section. Members of such advisory committee are appointed by the chair of the joint select committee.</w:t>
      </w:r>
    </w:p>
    <w:p>
      <w:pPr>
        <w:spacing w:before="0" w:after="0" w:line="408" w:lineRule="exact"/>
        <w:ind w:left="0" w:right="0" w:firstLine="576"/>
        <w:jc w:val="left"/>
      </w:pPr>
      <w:r>
        <w:rPr/>
        <w:t xml:space="preserve">(5) Staff support for the joint select committee must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joint select committee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joint select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joint select committee shall report its findings and recommendations to the appropriate committees of the legislature by December 31, 2016.</w:t>
      </w:r>
    </w:p>
    <w:p>
      <w:pPr>
        <w:spacing w:before="0" w:after="0" w:line="408" w:lineRule="exact"/>
        <w:ind w:left="0" w:right="0" w:firstLine="576"/>
        <w:jc w:val="left"/>
      </w:pPr>
      <w:r>
        <w:rPr/>
        <w:t xml:space="preserve">(9) This section expires December 31, 2016.</w:t>
      </w:r>
    </w:p>
    <w:p/>
    <w:p>
      <w:pPr>
        <w:jc w:val="center"/>
      </w:pPr>
      <w:r>
        <w:rPr>
          <w:b/>
        </w:rPr>
        <w:t>--- END ---</w:t>
      </w:r>
    </w:p>
    <w:sectPr>
      <w:pgNumType w:start="1"/>
      <w:footerReference xmlns:r="http://schemas.openxmlformats.org/officeDocument/2006/relationships" r:id="R55aee10270df49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e1789c51f541d9" /><Relationship Type="http://schemas.openxmlformats.org/officeDocument/2006/relationships/footer" Target="/word/footer.xml" Id="R55aee10270df49dd" /></Relationships>
</file>