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51ee939404458d" /></Relationships>
</file>

<file path=word/document.xml><?xml version="1.0" encoding="utf-8"?>
<w:document xmlns:w="http://schemas.openxmlformats.org/wordprocessingml/2006/main">
  <w:body>
    <w:p>
      <w:r>
        <w:t>H-3769.1</w:t>
      </w:r>
    </w:p>
    <w:p>
      <w:pPr>
        <w:jc w:val="center"/>
      </w:pPr>
      <w:r>
        <w:t>_______________________________________________</w:t>
      </w:r>
    </w:p>
    <w:p/>
    <w:p>
      <w:pPr>
        <w:jc w:val="center"/>
      </w:pPr>
      <w:r>
        <w:rPr>
          <w:b/>
        </w:rPr>
        <w:t>HOUSE BILL 2841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Senn and Buys</w:t>
      </w:r>
    </w:p>
    <w:p/>
    <w:p>
      <w:r>
        <w:rPr>
          <w:t xml:space="preserve">Read first time 01/22/16.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building code council; amending RCW 19.27.085, 19.27.070, 19.27.074, and 19.27A.020; adding a new section to chapter 19.27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085</w:t>
      </w:r>
      <w:r>
        <w:rPr/>
        <w:t xml:space="preserve"> and 1989 c 256 s 1 are each amended to read as follows:</w:t>
      </w:r>
    </w:p>
    <w:p>
      <w:pPr>
        <w:spacing w:before="0" w:after="0" w:line="408" w:lineRule="exact"/>
        <w:ind w:left="0" w:right="0" w:firstLine="576"/>
        <w:jc w:val="left"/>
      </w:pPr>
      <w:r>
        <w:rPr/>
        <w:t xml:space="preserve">(1) There is hereby created the building code council account in the state treasury. Moneys deposited into the account shall be used by the building code council, after appropriation, to perform the purposes of the council.</w:t>
      </w:r>
    </w:p>
    <w:p>
      <w:pPr>
        <w:spacing w:before="0" w:after="0" w:line="408" w:lineRule="exact"/>
        <w:ind w:left="0" w:right="0" w:firstLine="576"/>
        <w:jc w:val="left"/>
      </w:pPr>
      <w:r>
        <w:rPr/>
        <w:t xml:space="preserve">(2) All moneys collected under subsection (3) of this section shall be deposited into the building code council account. Every four years the state treasurer shall report to the legislature on the balances in the account so that the legislature may adjust the charges imposed under subsection (3) of this section.</w:t>
      </w:r>
    </w:p>
    <w:p>
      <w:pPr>
        <w:spacing w:before="0" w:after="0" w:line="408" w:lineRule="exact"/>
        <w:ind w:left="0" w:right="0" w:firstLine="576"/>
        <w:jc w:val="left"/>
      </w:pPr>
      <w:r>
        <w:rPr/>
        <w:t xml:space="preserve">(3) There is imposed a fee of four dollars and fifty cents on each building permit issued by a county or a city, plus an additional surcharge of two dollars for each residential unit, but not including the first unit, on each building containing more than one residential unit. Quarterly each county and city shall remit moneys collected under this section to the state treasury; however, no remittance is required until a minimum of fifty dollars has accumulated pursuant to this subsection.</w:t>
      </w:r>
    </w:p>
    <w:p>
      <w:pPr>
        <w:spacing w:before="0" w:after="0" w:line="408" w:lineRule="exact"/>
        <w:ind w:left="0" w:right="0" w:firstLine="576"/>
        <w:jc w:val="left"/>
      </w:pPr>
      <w:r>
        <w:rPr>
          <w:u w:val="single"/>
        </w:rPr>
        <w:t xml:space="preserve">(4) In addition to the fees under subsection (3) of this section, there is imposed a temporary surcharge of one dollar on each residential building permit issued by a county or a city, and a temporary surcharge of five dollars and fifty cents for each nonresidential building permit issued by a county or a city. These temporary surcharges expire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2011 1st sp.s. c 43 s 244 are each amended to read as follows:</w:t>
      </w:r>
    </w:p>
    <w:p>
      <w:pPr>
        <w:spacing w:before="0" w:after="0" w:line="408" w:lineRule="exact"/>
        <w:ind w:left="0" w:right="0" w:firstLine="576"/>
        <w:jc w:val="left"/>
      </w:pPr>
      <w:r>
        <w:rPr/>
        <w:t xml:space="preserve">There is hereby established </w:t>
      </w:r>
      <w:r>
        <w:rPr>
          <w:u w:val="single"/>
        </w:rPr>
        <w:t xml:space="preserve">in the department of enterprise services</w:t>
      </w:r>
      <w:r>
        <w:rPr/>
        <w:t xml:space="preserve">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w:t>
      </w:r>
      <w:r>
        <w:rPr>
          <w:u w:val="single"/>
        </w:rPr>
        <w:t xml:space="preserve">One member must be a person with a physical disability and shall represent the disability community;</w:t>
      </w:r>
    </w:p>
    <w:p>
      <w:pPr>
        <w:spacing w:before="0" w:after="0" w:line="408" w:lineRule="exact"/>
        <w:ind w:left="0" w:right="0" w:firstLine="576"/>
        <w:jc w:val="left"/>
      </w:pPr>
      <w:r>
        <w:rPr>
          <w:u w:val="single"/>
        </w:rPr>
        <w:t xml:space="preserve">(f) One member must represent the general public; and</w:t>
      </w:r>
    </w:p>
    <w:p>
      <w:pPr>
        <w:spacing w:before="0" w:after="0" w:line="408" w:lineRule="exact"/>
        <w:ind w:left="0" w:right="0" w:firstLine="576"/>
        <w:jc w:val="left"/>
      </w:pPr>
      <w:r>
        <w:rPr>
          <w:u w:val="single"/>
        </w:rPr>
        <w:t xml:space="preserve">(g) Seven members must represent the private sector as follows:</w:t>
      </w:r>
    </w:p>
    <w:p>
      <w:pPr>
        <w:spacing w:before="0" w:after="0" w:line="408" w:lineRule="exact"/>
        <w:ind w:left="0" w:right="0" w:firstLine="576"/>
        <w:jc w:val="left"/>
      </w:pPr>
      <w:r>
        <w:rPr>
          <w:u w:val="single"/>
        </w:rPr>
        <w:t xml:space="preserve">(i)</w:t>
      </w:r>
      <w:r>
        <w:rPr/>
        <w:t xml:space="preserve"> One member shall represent general construction, specializing in commercial and industrial building construction;</w:t>
      </w:r>
    </w:p>
    <w:p>
      <w:pPr>
        <w:spacing w:before="0" w:after="0" w:line="408" w:lineRule="exact"/>
        <w:ind w:left="0" w:right="0" w:firstLine="576"/>
        <w:jc w:val="left"/>
      </w:pPr>
      <w:r>
        <w:t>((</w:t>
      </w:r>
      <w:r>
        <w:rPr>
          <w:strike/>
        </w:rPr>
        <w:t xml:space="preserve">(f)</w:t>
      </w:r>
      <w:r>
        <w:t>))</w:t>
      </w:r>
      <w:r>
        <w:rPr/>
        <w:t xml:space="preserve"> </w:t>
      </w:r>
      <w:r>
        <w:rPr>
          <w:u w:val="single"/>
        </w:rPr>
        <w:t xml:space="preserve">(ii)</w:t>
      </w:r>
      <w:r>
        <w:rPr/>
        <w:t xml:space="preserve"> One member shall represent general construction, specializing in residential and multifamily building construction;</w:t>
      </w:r>
    </w:p>
    <w:p>
      <w:pPr>
        <w:spacing w:before="0" w:after="0" w:line="408" w:lineRule="exact"/>
        <w:ind w:left="0" w:right="0" w:firstLine="576"/>
        <w:jc w:val="left"/>
      </w:pPr>
      <w:r>
        <w:t>((</w:t>
      </w:r>
      <w:r>
        <w:rPr>
          <w:strike/>
        </w:rPr>
        <w:t xml:space="preserve">(g)</w:t>
      </w:r>
      <w:r>
        <w:t>))</w:t>
      </w:r>
      <w:r>
        <w:rPr/>
        <w:t xml:space="preserve"> </w:t>
      </w:r>
      <w:r>
        <w:rPr>
          <w:u w:val="single"/>
        </w:rPr>
        <w:t xml:space="preserve">(iii)</w:t>
      </w:r>
      <w:r>
        <w:rPr/>
        <w:t xml:space="preserve"> One member shall represent the architectural design profession;</w:t>
      </w:r>
    </w:p>
    <w:p>
      <w:pPr>
        <w:spacing w:before="0" w:after="0" w:line="408" w:lineRule="exact"/>
        <w:ind w:left="0" w:right="0" w:firstLine="576"/>
        <w:jc w:val="left"/>
      </w:pPr>
      <w:r>
        <w:t>((</w:t>
      </w:r>
      <w:r>
        <w:rPr>
          <w:strike/>
        </w:rPr>
        <w:t xml:space="preserve">(h)</w:t>
      </w:r>
      <w:r>
        <w:t>))</w:t>
      </w:r>
      <w:r>
        <w:rPr/>
        <w:t xml:space="preserve"> </w:t>
      </w:r>
      <w:r>
        <w:rPr>
          <w:u w:val="single"/>
        </w:rPr>
        <w:t xml:space="preserve">(iv)</w:t>
      </w:r>
      <w:r>
        <w:rPr/>
        <w:t xml:space="preserve"> One member shall represent the structural engineering profession;</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One member shall represent the mechanical engineering profession;</w:t>
      </w:r>
    </w:p>
    <w:p>
      <w:pPr>
        <w:spacing w:before="0" w:after="0" w:line="408" w:lineRule="exact"/>
        <w:ind w:left="0" w:right="0" w:firstLine="576"/>
        <w:jc w:val="left"/>
      </w:pPr>
      <w:r>
        <w:t>((</w:t>
      </w:r>
      <w:r>
        <w:rPr>
          <w:strike/>
        </w:rPr>
        <w:t xml:space="preserve">(j)</w:t>
      </w:r>
      <w:r>
        <w:t>))</w:t>
      </w:r>
      <w:r>
        <w:rPr/>
        <w:t xml:space="preserve"> </w:t>
      </w:r>
      <w:r>
        <w:rPr>
          <w:u w:val="single"/>
        </w:rPr>
        <w:t xml:space="preserve">(vi)</w:t>
      </w:r>
      <w:r>
        <w:rPr/>
        <w:t xml:space="preserve"> One member shall represent the construction building trades;</w:t>
      </w:r>
    </w:p>
    <w:p>
      <w:pPr>
        <w:spacing w:before="0" w:after="0" w:line="408" w:lineRule="exact"/>
        <w:ind w:left="0" w:right="0" w:firstLine="576"/>
        <w:jc w:val="left"/>
      </w:pPr>
      <w:r>
        <w:t>((</w:t>
      </w:r>
      <w:r>
        <w:rPr>
          <w:strike/>
        </w:rPr>
        <w:t xml:space="preserve">(k)</w:t>
      </w:r>
      <w:r>
        <w:t>))</w:t>
      </w:r>
      <w:r>
        <w:rPr/>
        <w:t xml:space="preserve"> </w:t>
      </w:r>
      <w:r>
        <w:rPr>
          <w:u w:val="single"/>
        </w:rPr>
        <w:t xml:space="preserve">(vii)</w:t>
      </w:r>
      <w:r>
        <w:rPr/>
        <w:t xml:space="preserve"> One member shall represent manufacturers, installers, or suppliers of building materials and components</w:t>
      </w:r>
      <w:r>
        <w:t>((</w:t>
      </w:r>
      <w:r>
        <w:rPr>
          <w:strike/>
        </w:rPr>
        <w:t xml:space="preserve">;</w:t>
      </w:r>
    </w:p>
    <w:p>
      <w:pPr>
        <w:spacing w:before="0" w:after="0" w:line="408" w:lineRule="exact"/>
        <w:ind w:left="0" w:right="0" w:firstLine="576"/>
        <w:jc w:val="left"/>
      </w:pPr>
      <w:r>
        <w:rPr>
          <w:strike/>
        </w:rPr>
        <w:t xml:space="preserve">(l) One member must be a person with a physical disability and shall represent the disability community; and</w:t>
      </w:r>
    </w:p>
    <w:p>
      <w:pPr>
        <w:spacing w:before="0" w:after="0" w:line="408" w:lineRule="exact"/>
        <w:ind w:left="0" w:right="0" w:firstLine="576"/>
        <w:jc w:val="left"/>
      </w:pPr>
      <w:r>
        <w:rPr>
          <w:strike/>
        </w:rPr>
        <w:t xml:space="preserve">(m) One member shall represent the general public</w:t>
      </w:r>
      <w:r>
        <w:t>))</w:t>
      </w:r>
      <w:r>
        <w:rPr/>
        <w:t xml:space="preserve">.</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w:t>
      </w:r>
      <w:r>
        <w:rPr>
          <w:u w:val="single"/>
        </w:rPr>
        <w:t xml:space="preserve">(i)</w:t>
      </w:r>
      <w:r>
        <w:rPr/>
        <w:t xml:space="preserve"> Any member who is appointed to represent a specific private sector industry must maintain sufficiently similar employment or circumstances throughout the term of office to remain qualified to represent the specified industry. Retirement or unemployment is not cause for termination. However, if a councilmember enters into employment outside of the industry he or she has been appointed to represent, then he or she shall be removed from the council.</w:t>
      </w:r>
    </w:p>
    <w:p>
      <w:pPr>
        <w:spacing w:before="0" w:after="0" w:line="408" w:lineRule="exact"/>
        <w:ind w:left="0" w:right="0" w:firstLine="576"/>
        <w:jc w:val="left"/>
      </w:pPr>
      <w:r>
        <w:rPr>
          <w:u w:val="single"/>
        </w:rPr>
        <w:t xml:space="preserve">(ii) Any member who is appointed after the effective date of this section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after the effective date of this section to represent a specific private sector industry enters into employment outside of the industry, or outside of the private sector, he or she has been appointed to represent, then he or she shall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t>((</w:t>
      </w:r>
      <w:r>
        <w:rPr>
          <w:strike/>
        </w:rPr>
        <w:t xml:space="preserve">(7) The department of enterprise services shall provide administrative and clerical assistance to the building code council.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Propose a budget for the operation of the state building code council to be submitted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 </w:t>
      </w:r>
      <w:r>
        <w:rPr>
          <w:u w:val="single"/>
        </w:rPr>
        <w:t xml:space="preserve">and</w:t>
      </w:r>
    </w:p>
    <w:p>
      <w:pPr>
        <w:spacing w:before="0" w:after="0" w:line="408" w:lineRule="exact"/>
        <w:ind w:left="0" w:right="0" w:firstLine="576"/>
        <w:jc w:val="left"/>
      </w:pPr>
      <w:r>
        <w:rPr/>
        <w:t xml:space="preserve">(b) </w:t>
      </w:r>
      <w:r>
        <w:t>((</w:t>
      </w:r>
      <w:r>
        <w:rPr>
          <w:strike/>
        </w:rPr>
        <w:t xml:space="preserve">Employ permanent and temporary staff and contract for services; and</w:t>
      </w:r>
    </w:p>
    <w:p>
      <w:pPr>
        <w:spacing w:before="0" w:after="0" w:line="408" w:lineRule="exact"/>
        <w:ind w:left="0" w:right="0" w:firstLine="576"/>
        <w:jc w:val="left"/>
      </w:pPr>
      <w:r>
        <w:rPr>
          <w:strike/>
        </w:rPr>
        <w:t xml:space="preserve">(c)</w:t>
      </w:r>
      <w:r>
        <w:t>))</w:t>
      </w:r>
      <w:r>
        <w:rPr/>
        <w:t xml:space="preserve"> Conduct research into matters relating to any code or codes referred to in RCW 19.27.031 or any related matter.</w:t>
      </w:r>
    </w:p>
    <w:p>
      <w:pPr>
        <w:spacing w:before="0" w:after="0" w:line="408" w:lineRule="exact"/>
        <w:ind w:left="0" w:right="0" w:firstLine="576"/>
        <w:jc w:val="left"/>
      </w:pPr>
      <w:r>
        <w:rPr>
          <w:u w:val="single"/>
        </w:rPr>
        <w:t xml:space="preserve">(3)(a)</w:t>
      </w:r>
      <w:r>
        <w:rPr/>
        <w:t xml:space="preserve">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u w:val="single"/>
        </w:rPr>
        <w:t xml:space="preserve">(b)</w:t>
      </w:r>
      <w:r>
        <w:rPr/>
        <w:t xml:space="preserve"> All council decisions relating to the codes enumerated in RCW 19.27.031 shall require approval by at least a majority of the members of the council.</w:t>
      </w:r>
    </w:p>
    <w:p>
      <w:pPr>
        <w:spacing w:before="0" w:after="0" w:line="408" w:lineRule="exact"/>
        <w:ind w:left="0" w:right="0" w:firstLine="576"/>
        <w:jc w:val="left"/>
      </w:pPr>
      <w:r>
        <w:rPr>
          <w:u w:val="single"/>
        </w:rPr>
        <w:t xml:space="preserve">(c)</w:t>
      </w:r>
      <w:r>
        <w:rPr/>
        <w:t xml:space="preserve"> All decisions to adopt or amend codes of statewide application shall be made prior to December 1 of any year and shall not take effect before the end of the regular legislative session in the next year.</w:t>
      </w:r>
    </w:p>
    <w:p>
      <w:pPr>
        <w:spacing w:before="0" w:after="0" w:line="408" w:lineRule="exact"/>
        <w:ind w:left="0" w:right="0" w:firstLine="576"/>
        <w:jc w:val="left"/>
      </w:pPr>
      <w:r>
        <w:rPr>
          <w:u w:val="single"/>
        </w:rPr>
        <w:t xml:space="preserve">(4) The department of enterprise services shall employ permanent and temporary staff and contract for services for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2015 c 11 s 3 are each amended to read as follows:</w:t>
      </w:r>
    </w:p>
    <w:p>
      <w:pPr>
        <w:spacing w:before="0" w:after="0" w:line="408" w:lineRule="exact"/>
        <w:ind w:left="0" w:right="0" w:firstLine="576"/>
        <w:jc w:val="left"/>
      </w:pPr>
      <w:r>
        <w:rPr/>
        <w:t xml:space="preserve">(1) The state building code council </w:t>
      </w:r>
      <w:r>
        <w:rPr>
          <w:u w:val="single"/>
        </w:rPr>
        <w:t xml:space="preserve">in the department of enterprise services</w:t>
      </w:r>
      <w:r>
        <w:rPr/>
        <w:t xml:space="preserve">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(1)(a) A legislative task force on the state building code council's administration and operations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appoint four current members of the building code council and six members who regularly work with the council, representing local government, private sector interests, labor interests, environmental interests, and the general public.</w:t>
      </w:r>
    </w:p>
    <w:p>
      <w:pPr>
        <w:spacing w:before="0" w:after="0" w:line="408" w:lineRule="exact"/>
        <w:ind w:left="0" w:right="0" w:firstLine="576"/>
        <w:jc w:val="left"/>
      </w:pPr>
      <w:r>
        <w:rPr/>
        <w:t xml:space="preserve">(iv) The director of the department of enterprise services shall appoint one member from each of the department of enterprise services, the department of commerce energy program, and another appropriate state agency.</w:t>
      </w:r>
    </w:p>
    <w:p>
      <w:pPr>
        <w:spacing w:before="0" w:after="0" w:line="408" w:lineRule="exact"/>
        <w:ind w:left="0" w:right="0" w:firstLine="576"/>
        <w:jc w:val="left"/>
      </w:pPr>
      <w:r>
        <w:rPr/>
        <w:t xml:space="preserve">(b) The task force shall choose its chair from among its legislative membership. The legislative members of the task force shall convene the initial meeting of the task force.</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The current structure, operations, and resources of the council;</w:t>
      </w:r>
    </w:p>
    <w:p>
      <w:pPr>
        <w:spacing w:before="0" w:after="0" w:line="408" w:lineRule="exact"/>
        <w:ind w:left="0" w:right="0" w:firstLine="576"/>
        <w:jc w:val="left"/>
      </w:pPr>
      <w:r>
        <w:rPr/>
        <w:t xml:space="preserve">(b) The building code development process, including the policy and procedure, technical, and economic aspects of review and adoption of the state building code;</w:t>
      </w:r>
    </w:p>
    <w:p>
      <w:pPr>
        <w:spacing w:before="0" w:after="0" w:line="408" w:lineRule="exact"/>
        <w:ind w:left="0" w:right="0" w:firstLine="576"/>
        <w:jc w:val="left"/>
      </w:pPr>
      <w:r>
        <w:rPr/>
        <w:t xml:space="preserve">(c) Total resources necessary for an effective state building code development process, including staffing and needs;</w:t>
      </w:r>
    </w:p>
    <w:p>
      <w:pPr>
        <w:spacing w:before="0" w:after="0" w:line="408" w:lineRule="exact"/>
        <w:ind w:left="0" w:right="0" w:firstLine="576"/>
        <w:jc w:val="left"/>
      </w:pPr>
      <w:r>
        <w:rPr/>
        <w:t xml:space="preserve">(d) Options for long-term, reliable funding of the council; and</w:t>
      </w:r>
    </w:p>
    <w:p>
      <w:pPr>
        <w:spacing w:before="0" w:after="0" w:line="408" w:lineRule="exact"/>
        <w:ind w:left="0" w:right="0" w:firstLine="576"/>
        <w:jc w:val="left"/>
      </w:pPr>
      <w:r>
        <w:rPr/>
        <w:t xml:space="preserve">(e) The powers, duties, and support services of the department of enterprise services relevant to the council.</w:t>
      </w:r>
    </w:p>
    <w:p>
      <w:pPr>
        <w:spacing w:before="0" w:after="0" w:line="408" w:lineRule="exact"/>
        <w:ind w:left="0" w:right="0" w:firstLine="576"/>
        <w:jc w:val="left"/>
      </w:pPr>
      <w:r>
        <w:rPr/>
        <w:t xml:space="preserve">(3) Staff support for the task force must be provided by senate committee services and the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appropriate committees of the legislature by October 1, 2017.</w:t>
      </w:r>
    </w:p>
    <w:p>
      <w:pPr>
        <w:spacing w:before="0" w:after="0" w:line="408" w:lineRule="exact"/>
        <w:ind w:left="0" w:right="0" w:firstLine="576"/>
        <w:jc w:val="left"/>
      </w:pPr>
      <w:r>
        <w:rPr/>
        <w:t xml:space="preserve">(7) This section expires October 1, 2017.</w:t>
      </w:r>
    </w:p>
    <w:p/>
    <w:p>
      <w:pPr>
        <w:jc w:val="center"/>
      </w:pPr>
      <w:r>
        <w:rPr>
          <w:b/>
        </w:rPr>
        <w:t>--- END ---</w:t>
      </w:r>
    </w:p>
    <w:sectPr>
      <w:pgNumType w:start="1"/>
      <w:footerReference xmlns:r="http://schemas.openxmlformats.org/officeDocument/2006/relationships" r:id="R57288fd79b724f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bc519bd88748e2" /><Relationship Type="http://schemas.openxmlformats.org/officeDocument/2006/relationships/footer" Target="/word/footer.xml" Id="R57288fd79b724f99" /></Relationships>
</file>