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571c86dedd4029" /></Relationships>
</file>

<file path=word/document.xml><?xml version="1.0" encoding="utf-8"?>
<w:document xmlns:w="http://schemas.openxmlformats.org/wordprocessingml/2006/main">
  <w:body>
    <w:p>
      <w:r>
        <w:t>H-4110.1</w:t>
      </w:r>
    </w:p>
    <w:p>
      <w:pPr>
        <w:jc w:val="center"/>
      </w:pPr>
      <w:r>
        <w:t>_______________________________________________</w:t>
      </w:r>
    </w:p>
    <w:p/>
    <w:p>
      <w:pPr>
        <w:jc w:val="center"/>
      </w:pPr>
      <w:r>
        <w:rPr>
          <w:b/>
        </w:rPr>
        <w:t>SUBSTITUTE HOUSE BILL 2841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Senn and Buys)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19.27.085, 19.27.070, 19.27.074, and 19.27A.020; adding a new section to chapter 19.27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four dollars and fifty cents on each building permit issued by a county or a city, plus an additional surcharge of two dollars for each residential unit, but not including the first unit, on each building containing more than one residential unit. Quarterly each county and city shall remit moneys collected under this section to the state treasury; however, no remittance is required until a minimum of fifty dollars has accumulated pursuant to this subsection.</w:t>
      </w:r>
    </w:p>
    <w:p>
      <w:pPr>
        <w:spacing w:before="0" w:after="0" w:line="408" w:lineRule="exact"/>
        <w:ind w:left="0" w:right="0" w:firstLine="576"/>
        <w:jc w:val="left"/>
      </w:pPr>
      <w:r>
        <w:rPr>
          <w:u w:val="single"/>
        </w:rPr>
        <w:t xml:space="preserve">(4) In addition to the fees under subsection (3) of this section, there is imposed a temporary surcharge of one dollar on each residential building permit issued by a county or a city, and a temporary surcharge of five dollars and fifty cents for each nonresidential building permit issued by a county or a city. These temporary surcharges expire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after the effective date of this section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 </w:t>
      </w:r>
      <w:r>
        <w:rPr>
          <w:u w:val="single"/>
        </w:rPr>
        <w:t xml:space="preserve">and</w:t>
      </w:r>
    </w:p>
    <w:p>
      <w:pPr>
        <w:spacing w:before="0" w:after="0" w:line="408" w:lineRule="exact"/>
        <w:ind w:left="0" w:right="0" w:firstLine="576"/>
        <w:jc w:val="left"/>
      </w:pPr>
      <w:r>
        <w:rPr/>
        <w:t xml:space="preserve">(b) </w:t>
      </w:r>
      <w:r>
        <w:t>((</w:t>
      </w:r>
      <w:r>
        <w:rPr>
          <w:strike/>
        </w:rPr>
        <w:t xml:space="preserve">Employ permanent and temporary staff and contract for services; and</w:t>
      </w:r>
    </w:p>
    <w:p>
      <w:pPr>
        <w:spacing w:before="0" w:after="0" w:line="408" w:lineRule="exact"/>
        <w:ind w:left="0" w:right="0" w:firstLine="576"/>
        <w:jc w:val="left"/>
      </w:pPr>
      <w:r>
        <w:rPr>
          <w:strike/>
        </w:rPr>
        <w:t xml:space="preserve">(c)</w:t>
      </w:r>
      <w:r>
        <w:t>))</w:t>
      </w:r>
      <w:r>
        <w:rPr/>
        <w:t xml:space="preserve">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the following eight members:</w:t>
      </w:r>
    </w:p>
    <w:p>
      <w:pPr>
        <w:spacing w:before="0" w:after="0" w:line="408" w:lineRule="exact"/>
        <w:ind w:left="0" w:right="0" w:firstLine="576"/>
        <w:jc w:val="left"/>
      </w:pPr>
      <w:r>
        <w:rPr/>
        <w:t xml:space="preserve">(A) Two current members of the building code council representing the private sector;</w:t>
      </w:r>
    </w:p>
    <w:p>
      <w:pPr>
        <w:spacing w:before="0" w:after="0" w:line="408" w:lineRule="exact"/>
        <w:ind w:left="0" w:right="0" w:firstLine="576"/>
        <w:jc w:val="left"/>
      </w:pPr>
      <w:r>
        <w:rPr/>
        <w:t xml:space="preserve">(B) One current member of the building code council representing local government;</w:t>
      </w:r>
    </w:p>
    <w:p>
      <w:pPr>
        <w:spacing w:before="0" w:after="0" w:line="408" w:lineRule="exact"/>
        <w:ind w:left="0" w:right="0" w:firstLine="576"/>
        <w:jc w:val="left"/>
      </w:pPr>
      <w:r>
        <w:rPr/>
        <w:t xml:space="preserve">(C) One current member of the building code council representing labor interests; and</w:t>
      </w:r>
    </w:p>
    <w:p>
      <w:pPr>
        <w:spacing w:before="0" w:after="0" w:line="408" w:lineRule="exact"/>
        <w:ind w:left="0" w:right="0" w:firstLine="576"/>
        <w:jc w:val="left"/>
      </w:pPr>
      <w:r>
        <w:rPr/>
        <w:t xml:space="preserve">(D) Four members who regularly work with the council, each representing one of the following: Local government, private sector interests, labor interests, and environmental interests.</w:t>
      </w:r>
    </w:p>
    <w:p>
      <w:pPr>
        <w:spacing w:before="0" w:after="0" w:line="408" w:lineRule="exact"/>
        <w:ind w:left="0" w:right="0" w:firstLine="576"/>
        <w:jc w:val="left"/>
      </w:pPr>
      <w:r>
        <w:rPr/>
        <w:t xml:space="preserve">(iv) The director of the department of enterprise services shall appoint one member from the department of enterprise services and one member from the department of commerce energy program.</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on the following issues:</w:t>
      </w:r>
    </w:p>
    <w:p>
      <w:pPr>
        <w:spacing w:before="0" w:after="0" w:line="408" w:lineRule="exact"/>
        <w:ind w:left="0" w:right="0" w:firstLine="576"/>
        <w:jc w:val="left"/>
      </w:pPr>
      <w:r>
        <w:rPr/>
        <w:t xml:space="preserve">(a) The current structure, operations, and resources of the council;</w:t>
      </w:r>
    </w:p>
    <w:p>
      <w:pPr>
        <w:spacing w:before="0" w:after="0" w:line="408" w:lineRule="exact"/>
        <w:ind w:left="0" w:right="0" w:firstLine="576"/>
        <w:jc w:val="left"/>
      </w:pPr>
      <w:r>
        <w:rPr/>
        <w:t xml:space="preserve">(b) The building code development process and length, including the policy and procedure, technical, and economic aspects including the public and private construction costs of review and adoption of the state building code;</w:t>
      </w:r>
    </w:p>
    <w:p>
      <w:pPr>
        <w:spacing w:before="0" w:after="0" w:line="408" w:lineRule="exact"/>
        <w:ind w:left="0" w:right="0" w:firstLine="576"/>
        <w:jc w:val="left"/>
      </w:pPr>
      <w:r>
        <w:rPr/>
        <w:t xml:space="preserve">(c) Total resources necessary for an effective state building code development process, including staffing and needs;</w:t>
      </w:r>
    </w:p>
    <w:p>
      <w:pPr>
        <w:spacing w:before="0" w:after="0" w:line="408" w:lineRule="exact"/>
        <w:ind w:left="0" w:right="0" w:firstLine="576"/>
        <w:jc w:val="left"/>
      </w:pPr>
      <w:r>
        <w:rPr/>
        <w:t xml:space="preserve">(d) Options for long-term, reliable funding of the council;</w:t>
      </w:r>
    </w:p>
    <w:p>
      <w:pPr>
        <w:spacing w:before="0" w:after="0" w:line="408" w:lineRule="exact"/>
        <w:ind w:left="0" w:right="0" w:firstLine="576"/>
        <w:jc w:val="left"/>
      </w:pPr>
      <w:r>
        <w:rPr/>
        <w:t xml:space="preserve">(e) The powers, duties, and support services of the department of enterprise services relevant to the council;</w:t>
      </w:r>
    </w:p>
    <w:p>
      <w:pPr>
        <w:spacing w:before="0" w:after="0" w:line="408" w:lineRule="exact"/>
        <w:ind w:left="0" w:right="0" w:firstLine="576"/>
        <w:jc w:val="left"/>
      </w:pPr>
      <w:r>
        <w:rPr/>
        <w:t xml:space="preserve">(f) Council membership, composition, and size; and</w:t>
      </w:r>
    </w:p>
    <w:p>
      <w:pPr>
        <w:spacing w:before="0" w:after="0" w:line="408" w:lineRule="exact"/>
        <w:ind w:left="0" w:right="0" w:firstLine="576"/>
        <w:jc w:val="left"/>
      </w:pPr>
      <w:r>
        <w:rPr/>
        <w:t xml:space="preserve">(g) The council's compliance with current statutes and requirements.</w:t>
      </w:r>
    </w:p>
    <w:p>
      <w:pPr>
        <w:spacing w:before="0" w:after="0" w:line="408" w:lineRule="exact"/>
        <w:ind w:left="0" w:right="0" w:firstLine="576"/>
        <w:jc w:val="left"/>
      </w:pPr>
      <w:r>
        <w:rPr/>
        <w:t xml:space="preserve">(3) Staff support for the task force must be provided by senate committee services and the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October 1, 2017.</w:t>
      </w:r>
    </w:p>
    <w:p>
      <w:pPr>
        <w:spacing w:before="0" w:after="0" w:line="408" w:lineRule="exact"/>
        <w:ind w:left="0" w:right="0" w:firstLine="576"/>
        <w:jc w:val="left"/>
      </w:pPr>
      <w:r>
        <w:rPr/>
        <w:t xml:space="preserve">(7) This section expires October 1, 2017.</w:t>
      </w:r>
    </w:p>
    <w:p/>
    <w:p>
      <w:pPr>
        <w:jc w:val="center"/>
      </w:pPr>
      <w:r>
        <w:rPr>
          <w:b/>
        </w:rPr>
        <w:t>--- END ---</w:t>
      </w:r>
    </w:p>
    <w:sectPr>
      <w:pgNumType w:start="1"/>
      <w:footerReference xmlns:r="http://schemas.openxmlformats.org/officeDocument/2006/relationships" r:id="R47d5c9506e6447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fcdb51fa14c1e" /><Relationship Type="http://schemas.openxmlformats.org/officeDocument/2006/relationships/footer" Target="/word/footer.xml" Id="R47d5c9506e644706" /></Relationships>
</file>