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7c076589e1412c" /></Relationships>
</file>

<file path=word/document.xml><?xml version="1.0" encoding="utf-8"?>
<w:document xmlns:w="http://schemas.openxmlformats.org/wordprocessingml/2006/main">
  <w:body>
    <w:p>
      <w:r>
        <w:t>H-4632.1</w:t>
      </w:r>
    </w:p>
    <w:p>
      <w:pPr>
        <w:jc w:val="center"/>
      </w:pPr>
      <w:r>
        <w:t>_______________________________________________</w:t>
      </w:r>
    </w:p>
    <w:p/>
    <w:p>
      <w:pPr>
        <w:jc w:val="center"/>
      </w:pPr>
      <w:r>
        <w:rPr>
          <w:b/>
        </w:rPr>
        <w:t>SECOND SUBSTITUTE HOUSE BILL 2839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Springer and Nealey)</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certain new building construction to be used by maintenance repair operators for airplane repair and maintenance; amending RCW 82.14.050 and 82.14.060;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sections 2 and 3 of this act as one intended to create jobs, as indicated in RCW 82.32.808(2)(c).</w:t>
      </w:r>
    </w:p>
    <w:p>
      <w:pPr>
        <w:spacing w:before="0" w:after="0" w:line="408" w:lineRule="exact"/>
        <w:ind w:left="0" w:right="0" w:firstLine="576"/>
        <w:jc w:val="left"/>
      </w:pPr>
      <w:r>
        <w:rPr/>
        <w:t xml:space="preserve">(3) At the end of the third year after an aircraft maintenance and repair station is operationally complete, the joint legislative audit and review committee must evaluate, at a minimum:</w:t>
      </w:r>
    </w:p>
    <w:p>
      <w:pPr>
        <w:spacing w:before="0" w:after="0" w:line="408" w:lineRule="exact"/>
        <w:ind w:left="0" w:right="0" w:firstLine="576"/>
        <w:jc w:val="left"/>
      </w:pPr>
      <w:r>
        <w:rPr/>
        <w:t xml:space="preserve">(a) Whether a taxpayer claiming this tax preference is on target to reach the employment levels and average annualized wages under section 2 of this act by the end of the aircraft maintenance and repair station's fourth year of operation; and</w:t>
      </w:r>
    </w:p>
    <w:p>
      <w:pPr>
        <w:spacing w:before="0" w:after="0" w:line="408" w:lineRule="exact"/>
        <w:ind w:left="0" w:right="0" w:firstLine="576"/>
        <w:jc w:val="left"/>
      </w:pPr>
      <w:r>
        <w:rPr/>
        <w:t xml:space="preserve">(b) Whether the average annualized wages for employees are on a par with industry standards for the sector.</w:t>
      </w:r>
    </w:p>
    <w:p>
      <w:pPr>
        <w:spacing w:before="0" w:after="0" w:line="408" w:lineRule="exact"/>
        <w:ind w:left="0" w:right="0" w:firstLine="576"/>
        <w:jc w:val="left"/>
      </w:pPr>
      <w:r>
        <w:rPr/>
        <w:t xml:space="preserve">(4) In order to obtain the data necessary to perform the review, the joint legislative audit and review committee may refer to the annual report and annual survey for tax preferences that federal aviation administration part 145 repair stations are required to file with the department and to employment data available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An eligible maintenance repair operator engaged in the maintenance of airplanes; or (ii) a port district, political subdivision, or municipal corporation, if the new building is to be leased to an eligible maintenance repair operator engaged in the maintenance of airplanes;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(2)(a) The exemption in this section is in the form of a remittance. A buyer claiming an exemption from the tax in the form of a remittance under this section must pay all applicable state and local sales taxes imposed under RCW 82.08.020 and chapter 82.14 RCW on all purchases qualifying for the exemption.</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may on a quarterly basis submit an application,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location and size of new structures;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(d) A person may request a remittance for state sales and use taxes after the aircraft maintenance and repair station has been operationally complete for four years, but not sooner than December 1, 2021. However, the department may not remit the state portion of sales and use taxes if the person did not report at least one hundred average employment positions to the employment security department for September 1, 2020, through September 1, 2021, with an average annualized wage of eighty thousand dollars. A person must provide the department with the unemployment insurance number provided to the employment security department for the establishment.</w:t>
      </w:r>
    </w:p>
    <w:p>
      <w:pPr>
        <w:spacing w:before="0" w:after="0" w:line="408" w:lineRule="exact"/>
        <w:ind w:left="0" w:right="0" w:firstLine="576"/>
        <w:jc w:val="left"/>
      </w:pPr>
      <w:r>
        <w:rPr/>
        <w:t xml:space="preserve">(e) A person may request a remittance for local sales and use taxes on or after the effective date of this section.</w:t>
      </w:r>
    </w:p>
    <w:p>
      <w:pPr>
        <w:spacing w:before="0" w:after="0" w:line="408" w:lineRule="exact"/>
        <w:ind w:left="0" w:right="0" w:firstLine="576"/>
        <w:jc w:val="left"/>
      </w:pPr>
      <w:r>
        <w:rPr/>
        <w:t xml:space="preserve">(3) In order to qualify under this section before starting construction, the port district, political subdivision, or municipal corporation must have entered into an agreement with an eligible maintenance repair operator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maintenance repair operator" means a person classified by the federal aviation administration as a federal aviation regulation part 145 certificated repair station and located in an international airport owned by a county with a population greater than one million five hundred thousand.</w:t>
      </w:r>
    </w:p>
    <w:p>
      <w:pPr>
        <w:spacing w:before="0" w:after="0" w:line="408" w:lineRule="exact"/>
        <w:ind w:left="0" w:right="0" w:firstLine="576"/>
        <w:jc w:val="left"/>
      </w:pPr>
      <w:r>
        <w:rPr/>
        <w:t xml:space="preserve">(b) "Operationally complete" means constructed to the point of being functionally capable of hosting the repair and maintenance of airplanes.</w:t>
      </w:r>
    </w:p>
    <w:p>
      <w:pPr>
        <w:spacing w:before="0" w:after="0" w:line="408" w:lineRule="exact"/>
        <w:ind w:left="0" w:right="0" w:firstLine="576"/>
        <w:jc w:val="left"/>
      </w:pPr>
      <w:r>
        <w:rPr/>
        <w:t xml:space="preserve">(5) This section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An eligible maintenance repair operator; or (ii) a port district, political subdivision, or municipal corporation, to be leased to an eligible maintenance repair operator;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w:t>
      </w:r>
    </w:p>
    <w:p>
      <w:pPr>
        <w:spacing w:before="0" w:after="0" w:line="408" w:lineRule="exact"/>
        <w:ind w:left="0" w:right="0" w:firstLine="576"/>
        <w:jc w:val="left"/>
      </w:pPr>
      <w:r>
        <w:rPr/>
        <w:t xml:space="preserve">(2) The eligibility requirements, conditions, and definitions in section 2 of this act apply to this section, including the filing of a complete annual report with the department under RCW 82.32.534.</w:t>
      </w:r>
    </w:p>
    <w:p>
      <w:pPr>
        <w:spacing w:before="0" w:after="0" w:line="408" w:lineRule="exact"/>
        <w:ind w:left="0" w:right="0" w:firstLine="576"/>
        <w:jc w:val="left"/>
      </w:pPr>
      <w:r>
        <w:rPr/>
        <w:t xml:space="preserve">(3)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2014 c 216 s 403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w:t>
      </w:r>
      <w:r>
        <w:t>((</w:t>
      </w:r>
      <w:r>
        <w:rPr>
          <w:strike/>
        </w:rPr>
        <w:t xml:space="preserve">and</w:t>
      </w:r>
      <w:r>
        <w:t>))</w:t>
      </w:r>
      <w:r>
        <w:rPr/>
        <w:t xml:space="preserve"> 82.12.02565</w:t>
      </w:r>
      <w:r>
        <w:rPr>
          <w:u w:val="single"/>
        </w:rPr>
        <w:t xml:space="preserve">, or section 2 or 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2014 c 216 s 404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w:t>
      </w:r>
      <w:r>
        <w:t>((</w:t>
      </w:r>
      <w:r>
        <w:rPr>
          <w:strike/>
        </w:rPr>
        <w:t xml:space="preserve">and</w:t>
      </w:r>
      <w:r>
        <w:t>))</w:t>
      </w:r>
      <w:r>
        <w:rPr/>
        <w:t xml:space="preserve"> 82.12.02565, </w:t>
      </w:r>
      <w:r>
        <w:rPr>
          <w:u w:val="single"/>
        </w:rPr>
        <w:t xml:space="preserve">or section 2 or 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1ce29a1e993442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7d1f3f567843f1" /><Relationship Type="http://schemas.openxmlformats.org/officeDocument/2006/relationships/footer" Target="/word/footer.xml" Id="R1ce29a1e9934424a" /></Relationships>
</file>