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51b004eaea4aaf" /></Relationships>
</file>

<file path=word/document.xml><?xml version="1.0" encoding="utf-8"?>
<w:document xmlns:w="http://schemas.openxmlformats.org/wordprocessingml/2006/main">
  <w:body>
    <w:p>
      <w:r>
        <w:t>H-3789.1</w:t>
      </w:r>
    </w:p>
    <w:p>
      <w:pPr>
        <w:jc w:val="center"/>
      </w:pPr>
      <w:r>
        <w:t>_______________________________________________</w:t>
      </w:r>
    </w:p>
    <w:p/>
    <w:p>
      <w:pPr>
        <w:jc w:val="center"/>
      </w:pPr>
      <w:r>
        <w:rPr>
          <w:b/>
        </w:rPr>
        <w:t>HOUSE BILL 2826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Morris, and Smith</w:t>
      </w:r>
    </w:p>
    <w:p/>
    <w:p>
      <w:r>
        <w:rPr>
          <w:t xml:space="preserve">Read first time 01/21/16.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repeal of certain duties of the state energy office with regard to preparing the state energy strategy document; amending RCW 43.21F.025 and 43.21F.045; repealing RCW 43.21F.010, 43.21F.088, and 43.21F.090; and repealing 1994 c 207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025</w:t>
      </w:r>
      <w:r>
        <w:rPr/>
        <w:t xml:space="preserve"> and 2010 c 271 s 402 are each amended to read as follows:</w:t>
      </w:r>
    </w:p>
    <w:p>
      <w:pPr>
        <w:spacing w:before="0" w:after="0" w:line="408" w:lineRule="exact"/>
        <w:ind w:left="0" w:right="0" w:firstLine="576"/>
        <w:jc w:val="left"/>
      </w:pPr>
      <w:r>
        <w:rPr/>
        <w:t xml:space="preserve">(1) "Assistant director" means the assistant director of the department of commerce responsible for energy policy activities;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"Distributor" means any person, private corporation, partnership, individual proprietorship, utility, including investor-owned utilities, municipal utility, public utility district, joint operating agency, or cooperative, which engages in or is authorized to engage in the activity of generating, transmitting, or distributing energy in this state;</w:t>
      </w:r>
    </w:p>
    <w:p>
      <w:pPr>
        <w:spacing w:before="0" w:after="0" w:line="408" w:lineRule="exact"/>
        <w:ind w:left="0" w:right="0" w:firstLine="576"/>
        <w:jc w:val="left"/>
      </w:pPr>
      <w:r>
        <w:rPr/>
        <w:t xml:space="preserve">(5) "Energy" means petroleum or other liquid fuels; natural or synthetic fuel gas; solid carbonaceous fuels; fissionable nuclear material; electricity; solar radiation; geothermal resources; hydropower; organic waste products; wind; tidal activity; any other substance or process used to produce heat, light, or motion; or the savings from nongeneration technologies, including conservation or improved efficiency in the usage of any of the sources described in this subsection;</w:t>
      </w:r>
    </w:p>
    <w:p>
      <w:pPr>
        <w:spacing w:before="0" w:after="0" w:line="408" w:lineRule="exact"/>
        <w:ind w:left="0" w:right="0" w:firstLine="576"/>
        <w:jc w:val="left"/>
      </w:pPr>
      <w:r>
        <w:rPr/>
        <w:t xml:space="preserve">(6) "Person"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 and</w:t>
      </w:r>
    </w:p>
    <w:p>
      <w:pPr>
        <w:spacing w:before="0" w:after="0" w:line="408" w:lineRule="exact"/>
        <w:ind w:left="0" w:right="0" w:firstLine="576"/>
        <w:jc w:val="left"/>
      </w:pPr>
      <w:r>
        <w:t>((</w:t>
      </w:r>
      <w:r>
        <w:rPr>
          <w:strike/>
        </w:rPr>
        <w:t xml:space="preserve">(7) "State energy strategy" means the document developed and updated by the department as allowed in RCW 43.21F.090.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w:t>
      </w:r>
      <w:r>
        <w:t>((</w:t>
      </w:r>
      <w:r>
        <w:rPr>
          <w:strike/>
        </w:rPr>
        <w:t xml:space="preserve">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strike/>
        </w:rPr>
        <w:t xml:space="preserve">(g) Serve as the official state agency responsible for coordinating implementation of the state energy strategy.</w:t>
      </w:r>
    </w:p>
    <w:p>
      <w:pPr>
        <w:spacing w:before="0" w:after="0" w:line="408" w:lineRule="exact"/>
        <w:ind w:left="0" w:right="0" w:firstLine="576"/>
        <w:jc w:val="left"/>
      </w:pPr>
      <w:r>
        <w:rPr>
          <w:strike/>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strike/>
        </w:rPr>
        <w:t xml:space="preserve">(i)</w:t>
      </w:r>
      <w:r>
        <w:t>))</w:t>
      </w:r>
      <w:r>
        <w:rPr/>
        <w:t xml:space="preserve"> Provide support for increasing cost-effective energy conservation, including assisting in the removal of impediments to timely implementation.</w:t>
      </w:r>
    </w:p>
    <w:p>
      <w:pPr>
        <w:spacing w:before="0" w:after="0" w:line="408" w:lineRule="exact"/>
        <w:ind w:left="0" w:right="0" w:firstLine="576"/>
        <w:jc w:val="left"/>
      </w:pPr>
      <w:r>
        <w:t>((</w:t>
      </w:r>
      <w:r>
        <w:rPr>
          <w:strike/>
        </w:rPr>
        <w:t xml:space="preserve">(j)</w:t>
      </w:r>
      <w:r>
        <w:t>))</w:t>
      </w:r>
      <w:r>
        <w:rPr/>
        <w:t xml:space="preserve"> </w:t>
      </w:r>
      <w:r>
        <w:rPr>
          <w:u w:val="single"/>
        </w:rPr>
        <w:t xml:space="preserve">(g)</w:t>
      </w:r>
      <w:r>
        <w:rPr/>
        <w:t xml:space="preserve"> Provide support for the development of cost-effective energy resources including assisting in the removal of impediments to timely construction.</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Adopt rules, under chapter 34.05 RCW, necessary to carry out the powers and duties enumerated in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enterprise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21F</w:t>
      </w:r>
      <w:r>
        <w:rPr/>
        <w:t xml:space="preserve">.</w:t>
      </w:r>
      <w:r>
        <w:t xml:space="preserve">010</w:t>
      </w:r>
      <w:r>
        <w:rPr/>
        <w:t xml:space="preserve"> (Legislative findings and declaration) and 2010 c 271 s 401 &amp; 1975-'76 2nd ex.s. c 108 s 1;</w:t>
      </w:r>
    </w:p>
    <w:p>
      <w:pPr>
        <w:spacing w:before="0" w:after="0" w:line="408" w:lineRule="exact"/>
        <w:ind w:left="0" w:right="0" w:firstLine="576"/>
        <w:jc w:val="left"/>
      </w:pPr>
      <w:r>
        <w:t>(2)</w:t>
      </w:r>
      <w:r>
        <w:rPr/>
        <w:t xml:space="preserve">RCW </w:t>
      </w:r>
      <w:r>
        <w:t xml:space="preserve">43</w:t>
      </w:r>
      <w:r>
        <w:rPr/>
        <w:t xml:space="preserve">.</w:t>
      </w:r>
      <w:r>
        <w:t xml:space="preserve">21F</w:t>
      </w:r>
      <w:r>
        <w:rPr/>
        <w:t xml:space="preserve">.</w:t>
      </w:r>
      <w:r>
        <w:t xml:space="preserve">088</w:t>
      </w:r>
      <w:r>
        <w:rPr/>
        <w:t xml:space="preserve"> (State energy strategy</w:t>
      </w:r>
      <w:r>
        <w:rPr>
          <w:rFonts w:ascii="Times New Roman" w:hAnsi="Times New Roman"/>
        </w:rPr>
        <w:t xml:space="preserve">—</w:t>
      </w:r>
      <w:r>
        <w:rPr/>
        <w:t xml:space="preserve">Principles</w:t>
      </w:r>
      <w:r>
        <w:rPr>
          <w:rFonts w:ascii="Times New Roman" w:hAnsi="Times New Roman"/>
        </w:rPr>
        <w:t xml:space="preserve">—</w:t>
      </w:r>
      <w:r>
        <w:rPr/>
        <w:t xml:space="preserve">Implementation) and 2010 c 271 s 403;</w:t>
      </w:r>
    </w:p>
    <w:p>
      <w:pPr>
        <w:spacing w:before="0" w:after="0" w:line="408" w:lineRule="exact"/>
        <w:ind w:left="0" w:right="0" w:firstLine="576"/>
        <w:jc w:val="left"/>
      </w:pPr>
      <w:r>
        <w:t>(3)</w:t>
      </w:r>
      <w:r>
        <w:rPr/>
        <w:t xml:space="preserve">RCW </w:t>
      </w:r>
      <w:r>
        <w:t xml:space="preserve">43</w:t>
      </w:r>
      <w:r>
        <w:rPr/>
        <w:t xml:space="preserve">.</w:t>
      </w:r>
      <w:r>
        <w:t xml:space="preserve">21F</w:t>
      </w:r>
      <w:r>
        <w:rPr/>
        <w:t xml:space="preserve">.</w:t>
      </w:r>
      <w:r>
        <w:t xml:space="preserve">090</w:t>
      </w:r>
      <w:r>
        <w:rPr/>
        <w:t xml:space="preserve"> (State energy strategy</w:t>
      </w:r>
      <w:r>
        <w:rPr>
          <w:rFonts w:ascii="Times New Roman" w:hAnsi="Times New Roman"/>
        </w:rPr>
        <w:t xml:space="preserve">—</w:t>
      </w:r>
      <w:r>
        <w:rPr/>
        <w:t xml:space="preserve">Review and report to legislature) and 1996 c 186 s 106 &amp; 1994 c 207 s 5; and</w:t>
      </w:r>
    </w:p>
    <w:p>
      <w:pPr>
        <w:spacing w:before="0" w:after="0" w:line="408" w:lineRule="exact"/>
        <w:ind w:left="0" w:right="0" w:firstLine="576"/>
        <w:jc w:val="left"/>
      </w:pPr>
      <w:r>
        <w:t>(4)</w:t>
      </w:r>
      <w:r>
        <w:rPr/>
        <w:t xml:space="preserve">1994 c 207 s 1 (uncodified).</w:t>
      </w:r>
    </w:p>
    <w:p/>
    <w:p>
      <w:pPr>
        <w:jc w:val="center"/>
      </w:pPr>
      <w:r>
        <w:rPr>
          <w:b/>
        </w:rPr>
        <w:t>--- END ---</w:t>
      </w:r>
    </w:p>
    <w:sectPr>
      <w:pgNumType w:start="1"/>
      <w:footerReference xmlns:r="http://schemas.openxmlformats.org/officeDocument/2006/relationships" r:id="Re41d8b01c1be47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1e2ad4e0ec4796" /><Relationship Type="http://schemas.openxmlformats.org/officeDocument/2006/relationships/footer" Target="/word/footer.xml" Id="Re41d8b01c1be4780" /></Relationships>
</file>