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fbc69777264043" /></Relationships>
</file>

<file path=word/document.xml><?xml version="1.0" encoding="utf-8"?>
<w:document xmlns:w="http://schemas.openxmlformats.org/wordprocessingml/2006/main">
  <w:body>
    <w:p>
      <w:r>
        <w:t>H-3615.1</w:t>
      </w:r>
    </w:p>
    <w:p>
      <w:pPr>
        <w:jc w:val="center"/>
      </w:pPr>
      <w:r>
        <w:t>_______________________________________________</w:t>
      </w:r>
    </w:p>
    <w:p/>
    <w:p>
      <w:pPr>
        <w:jc w:val="center"/>
      </w:pPr>
      <w:r>
        <w:rPr>
          <w:b/>
        </w:rPr>
        <w:t>HOUSE BILL 2808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and Kilduff</w:t>
      </w:r>
    </w:p>
    <w:p/>
    <w:p>
      <w:r>
        <w:rPr>
          <w:t xml:space="preserve">Read first time 01/21/16.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process for a person's immediate family member, guardian, or conservator to petition the court for the person's initial detention under the involuntary treatment act; and amending RCW 71.05.201.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2015 c 258 s 2 are each amended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a designated mental health professional received a request for investigation and the designated mental health professional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(2)(a) The petition must be </w:t>
      </w:r>
      <w:r>
        <w:rPr>
          <w:u w:val="single"/>
        </w:rPr>
        <w:t xml:space="preserve">filed in the county in which the person who is the subject of the petition is located and must be</w:t>
      </w:r>
      <w:r>
        <w:rPr/>
        <w:t xml:space="preserv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mental health professional.</w:t>
      </w:r>
    </w:p>
    <w:p>
      <w:pPr>
        <w:spacing w:before="0" w:after="0" w:line="408" w:lineRule="exact"/>
        <w:ind w:left="0" w:right="0" w:firstLine="576"/>
        <w:jc w:val="left"/>
      </w:pPr>
      <w:r>
        <w:rPr/>
        <w:t xml:space="preserve">(3) The court shall, within one judicial day, review the petition to determine whether the petition raises sufficient evidence to support the allegation. If the court so finds, it shall provide a copy of the petition to the designated mental health professional agency with an order for the agency to provide the court, within one judicial day, with a written sworn statement describing the basis for the decision not to seek initial detention and a copy of all information material to the designated mental health professional's current decision.</w:t>
      </w:r>
    </w:p>
    <w:p>
      <w:pPr>
        <w:spacing w:before="0" w:after="0" w:line="408" w:lineRule="exact"/>
        <w:ind w:left="0" w:right="0" w:firstLine="576"/>
        <w:jc w:val="left"/>
      </w:pPr>
      <w:r>
        <w:rPr/>
        <w:t xml:space="preserve">(4)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(5) The court shall dismiss the petition at any time if it finds that a designated mental health professional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(6)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(7) If the court enters an order for initial detention, it shall provide the order to the designated mental health professional agency, which shall execute the order without delay. An order for initial detention under this section expires one hundred eighty days from issuance.</w:t>
      </w:r>
    </w:p>
    <w:p>
      <w:pPr>
        <w:spacing w:before="0" w:after="0" w:line="408" w:lineRule="exact"/>
        <w:ind w:left="0" w:right="0" w:firstLine="576"/>
        <w:jc w:val="left"/>
      </w:pPr>
      <w:r>
        <w:rPr/>
        <w:t xml:space="preserve">(8)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(9) For purposes of this section, "immediate family member" means a spouse, domestic partner, child, stepchild, parent, stepparent, grandparent, or sibling.</w:t>
      </w:r>
    </w:p>
    <w:p/>
    <w:p>
      <w:pPr>
        <w:jc w:val="center"/>
      </w:pPr>
      <w:r>
        <w:rPr>
          <w:b/>
        </w:rPr>
        <w:t>--- END ---</w:t>
      </w:r>
    </w:p>
    <w:sectPr>
      <w:pgNumType w:start="1"/>
      <w:footerReference xmlns:r="http://schemas.openxmlformats.org/officeDocument/2006/relationships" r:id="R91f2c43deb624f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c1b11845f94b6c" /><Relationship Type="http://schemas.openxmlformats.org/officeDocument/2006/relationships/footer" Target="/word/footer.xml" Id="R91f2c43deb624fcf" /></Relationships>
</file>