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4958989cc54f47" /></Relationships>
</file>

<file path=word/document.xml><?xml version="1.0" encoding="utf-8"?>
<w:document xmlns:w="http://schemas.openxmlformats.org/wordprocessingml/2006/main">
  <w:body>
    <w:p>
      <w:r>
        <w:t>H-3152.2</w:t>
      </w:r>
    </w:p>
    <w:p>
      <w:pPr>
        <w:jc w:val="center"/>
      </w:pPr>
      <w:r>
        <w:t>_______________________________________________</w:t>
      </w:r>
    </w:p>
    <w:p/>
    <w:p>
      <w:pPr>
        <w:jc w:val="center"/>
      </w:pPr>
      <w:r>
        <w:rPr>
          <w:b/>
        </w:rPr>
        <w:t>HOUSE BILL 2799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Robinson, Zeiger, Ormsby, Gregerson, Orwall, Goodman, Tharinger, Tarleton, and Appleton</w:t>
      </w:r>
    </w:p>
    <w:p/>
    <w:p>
      <w:r>
        <w:rPr>
          <w:t xml:space="preserve">Read first time 01/20/16.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manufactured/mobile home communities; amending RCW 59.20.030 and 82.45.010;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housing 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make manufactured/mobile home community living insecure for manufactured/mobile home tenants.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manufactured/mobile home communities and, to the extent necessary and possible, to involve manufactured/mobile home community tenants or an eligible organization, such as a nonprofit organization, housing authority, community land trust, or local government, in the preservation of manufactured/mobile home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"Housing authority" or "authority" means any of the public body corporate and politic created in RCW 35.82.030;</w:t>
      </w:r>
    </w:p>
    <w:p>
      <w:pPr>
        <w:spacing w:before="0" w:after="0" w:line="408" w:lineRule="exact"/>
        <w:ind w:left="0" w:right="0" w:firstLine="576"/>
        <w:jc w:val="left"/>
      </w:pPr>
      <w:r>
        <w:rPr/>
        <w:t xml:space="preserve">(4) "Landlord" means the owner of a mobile home park and includes the agents of a landlord;</w:t>
      </w:r>
    </w:p>
    <w:p>
      <w:pPr>
        <w:spacing w:before="0" w:after="0" w:line="408" w:lineRule="exact"/>
        <w:ind w:left="0" w:right="0" w:firstLine="576"/>
        <w:jc w:val="left"/>
      </w:pPr>
      <w:r>
        <w:rPr/>
        <w:t xml:space="preserve">(5) "Local government" means a town government, city government, code city government, or county government in the state of Washington;</w:t>
      </w:r>
    </w:p>
    <w:p>
      <w:pPr>
        <w:spacing w:before="0" w:after="0" w:line="408" w:lineRule="exact"/>
        <w:ind w:left="0" w:right="0" w:firstLine="576"/>
        <w:jc w:val="left"/>
      </w:pPr>
      <w:r>
        <w:rPr/>
        <w:t xml:space="preserve">(6)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rPr/>
        <w:t xml:space="preserve">(7) "Manufactured/mobile home" means either a manufactured home or a mobile home;</w:t>
      </w:r>
    </w:p>
    <w:p>
      <w:pPr>
        <w:spacing w:before="0" w:after="0" w:line="408" w:lineRule="exact"/>
        <w:ind w:left="0" w:right="0" w:firstLine="576"/>
        <w:jc w:val="left"/>
      </w:pPr>
      <w:r>
        <w:rPr/>
        <w:t xml:space="preserve">(8)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(9)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(10)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(11)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(12)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(13)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rPr/>
        <w:t xml:space="preserve">(14) "Park model" means a recreational vehicle intended for permanent or semi-permanent installation and is used as a primary residence;</w:t>
      </w:r>
    </w:p>
    <w:p>
      <w:pPr>
        <w:spacing w:before="0" w:after="0" w:line="408" w:lineRule="exact"/>
        <w:ind w:left="0" w:right="0" w:firstLine="576"/>
        <w:jc w:val="left"/>
      </w:pPr>
      <w:r>
        <w:rPr/>
        <w:t xml:space="preserve">(15)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(16)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rPr/>
        <w:t xml:space="preserve">(17)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(18) "Tenant" means any person, except a transient, who rents a mobile home lot;</w:t>
      </w:r>
    </w:p>
    <w:p>
      <w:pPr>
        <w:spacing w:before="0" w:after="0" w:line="408" w:lineRule="exact"/>
        <w:ind w:left="0" w:right="0" w:firstLine="576"/>
        <w:jc w:val="left"/>
      </w:pPr>
      <w:r>
        <w:rPr/>
        <w:t xml:space="preserve">(19) "Transient" means a person who rents a mobile home lot for a period of less than one month for purposes other than as a primary residence;</w:t>
      </w:r>
    </w:p>
    <w:p>
      <w:pPr>
        <w:spacing w:before="0" w:after="0" w:line="408" w:lineRule="exact"/>
        <w:ind w:left="0" w:right="0" w:firstLine="576"/>
        <w:jc w:val="left"/>
      </w:pPr>
      <w:r>
        <w:rPr/>
        <w:t xml:space="preserve">(20) "Occupant" means any person, including a live-in care provider, other than a tenant, who occupies a mobile home, manufactured home, or park model and mobile home lot</w:t>
      </w:r>
      <w:r>
        <w:rPr>
          <w:u w:val="single"/>
        </w:rPr>
        <w:t xml:space="preserve">;</w:t>
      </w:r>
    </w:p>
    <w:p>
      <w:pPr>
        <w:spacing w:before="0" w:after="0" w:line="408" w:lineRule="exact"/>
        <w:ind w:left="0" w:right="0" w:firstLine="576"/>
        <w:jc w:val="left"/>
      </w:pPr>
      <w:r>
        <w:rPr>
          <w:u w:val="single"/>
        </w:rPr>
        <w:t xml:space="preserve">(21) "Notice of opportunity to purchase" means a notice required under section 3 of this act to be delivered to all specified parties within two days after the date on which a landlord receives any offer to purchase his or her manufactured/mobile home community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must provide a written notice of opportunity to purchase a manufactured/mobile home community by certified mail or personal delivery to all eligible organizations on the list maintained by the department of commerce pursuant to section 5 of this act.</w:t>
      </w:r>
    </w:p>
    <w:p>
      <w:pPr>
        <w:spacing w:before="0" w:after="0" w:line="408" w:lineRule="exact"/>
        <w:ind w:left="0" w:right="0" w:firstLine="576"/>
        <w:jc w:val="left"/>
      </w:pPr>
      <w:r>
        <w:rPr/>
        <w:t xml:space="preserve">(2) A notice of opportunity to purchase must include:</w:t>
      </w:r>
    </w:p>
    <w:p>
      <w:pPr>
        <w:spacing w:before="0" w:after="0" w:line="408" w:lineRule="exact"/>
        <w:ind w:left="0" w:right="0" w:firstLine="576"/>
        <w:jc w:val="left"/>
      </w:pPr>
      <w:r>
        <w:rPr/>
        <w:t xml:space="preserve">(a) A statement that the landlord intends to sell the manufactured/mobile home community;</w:t>
      </w:r>
    </w:p>
    <w:p>
      <w:pPr>
        <w:spacing w:before="0" w:after="0" w:line="408" w:lineRule="exact"/>
        <w:ind w:left="0" w:right="0" w:firstLine="576"/>
        <w:jc w:val="left"/>
      </w:pPr>
      <w:r>
        <w:rPr/>
        <w:t xml:space="preserve">(b) The contact information for the landlord or landlord's agent who is responsible for communicating with the qualified tenant organization or eligible organization regarding the sale of the property; and</w:t>
      </w:r>
    </w:p>
    <w:p>
      <w:pPr>
        <w:spacing w:before="0" w:after="0" w:line="408" w:lineRule="exact"/>
        <w:ind w:left="0" w:right="0" w:firstLine="576"/>
        <w:jc w:val="left"/>
      </w:pPr>
      <w:r>
        <w:rPr/>
        <w:t xml:space="preserve">(c) The terms of any offer or agreement for the purchase and sale of the manufactured/mobile home community, including the terms of any seller financing.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landlord may not close on the sale of his or her manufactured/mobile home community until one hundred twenty days after the date on which the notice of opportunity to purchase was delivered.</w:t>
      </w:r>
    </w:p>
    <w:p>
      <w:pPr>
        <w:spacing w:before="0" w:after="0" w:line="408" w:lineRule="exact"/>
        <w:ind w:left="0" w:right="0" w:firstLine="576"/>
        <w:jc w:val="left"/>
      </w:pPr>
      <w:r>
        <w:rPr/>
        <w:t xml:space="preserve">(2) During the period of one hundred twenty days after delivery of a notice of opportunity to purchase, a landlord may sell his or her manufactured/mobile home community to either a qualified tenant organization or an eligible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list of all eligible organizations that submit to the department of commerce a written request to receive notices of opportunity to purchase manufactured/mobile home communities, as provided in section 3 of this act, containing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a manufactured/mobile home community.</w:t>
      </w:r>
    </w:p>
    <w:p>
      <w:pPr>
        <w:spacing w:before="0" w:after="0" w:line="408" w:lineRule="exact"/>
        <w:ind w:left="0" w:right="0" w:firstLine="576"/>
        <w:jc w:val="left"/>
      </w:pPr>
      <w:r>
        <w:rPr/>
        <w:t xml:space="preserve">(2) The department of commerce must provide a copy of the list required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3 or 4 of this act is liable to the state of Washington in the amount of five thousand dollars or five percent of the total sales price, whichever is greater. This penalty is the exclusive remedy for a violation of section 3 or 4 of this act.</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w:t>
      </w:r>
      <w:r>
        <w:t>((</w:t>
      </w:r>
      <w:r>
        <w:rPr>
          <w:strike/>
        </w:rPr>
        <w:t xml:space="preserve">, but before December 31, 2018</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e65c67fc2f24b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e4b86c08db48df" /><Relationship Type="http://schemas.openxmlformats.org/officeDocument/2006/relationships/footer" Target="/word/footer.xml" Id="R5e65c67fc2f24b0f" /></Relationships>
</file>