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1df2a33c740a1" /></Relationships>
</file>

<file path=word/document.xml><?xml version="1.0" encoding="utf-8"?>
<w:document xmlns:w="http://schemas.openxmlformats.org/wordprocessingml/2006/main">
  <w:body>
    <w:p>
      <w:r>
        <w:t>H-3762.1</w:t>
      </w:r>
    </w:p>
    <w:p>
      <w:pPr>
        <w:jc w:val="center"/>
      </w:pPr>
      <w:r>
        <w:t>_______________________________________________</w:t>
      </w:r>
    </w:p>
    <w:p/>
    <w:p>
      <w:pPr>
        <w:jc w:val="center"/>
      </w:pPr>
      <w:r>
        <w:rPr>
          <w:b/>
        </w:rPr>
        <w:t>HOUSE BILL 2797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Santos</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communication, visitation, and interaction involving incapacitated persons; amending RCW 11.92.043; and adding a new section to chapter 11.88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 incapacitated person retains the right to communicate, visit, and interact with other persons upon his or her consent, which includes the right to receive visitors, telephone calls, and personal mail. If the incapacitated person is unable to express consent for communication, visitation, or interaction with another person, consent may be presumed based on the incapacitated person's prior relationship or history with the person.</w:t>
      </w:r>
    </w:p>
    <w:p>
      <w:pPr>
        <w:spacing w:before="0" w:after="0" w:line="408" w:lineRule="exact"/>
        <w:ind w:left="0" w:right="0" w:firstLine="576"/>
        <w:jc w:val="left"/>
      </w:pPr>
      <w:r>
        <w:rPr/>
        <w:t xml:space="preserve">(2) A guardian or limited guardian may not restrict an incapacitated person's right to communicate, visit, or interact with other persons unless specifically authorized by court order.</w:t>
      </w:r>
    </w:p>
    <w:p>
      <w:pPr>
        <w:spacing w:before="0" w:after="0" w:line="408" w:lineRule="exact"/>
        <w:ind w:left="0" w:right="0" w:firstLine="576"/>
        <w:jc w:val="left"/>
      </w:pPr>
      <w:r>
        <w:rPr/>
        <w:t xml:space="preserve">(3) Upon a guardian or limited guardian's motion and a showing of good cause, the court may enter an order allowing restrictions to be placed on an incapacitated person's ability to communicate, visit, or interact with another person. In determining good cause, the court must consider:</w:t>
      </w:r>
    </w:p>
    <w:p>
      <w:pPr>
        <w:spacing w:before="0" w:after="0" w:line="408" w:lineRule="exact"/>
        <w:ind w:left="0" w:right="0" w:firstLine="576"/>
        <w:jc w:val="left"/>
      </w:pPr>
      <w:r>
        <w:rPr/>
        <w:t xml:space="preserve">(a) Whether any protection, restraining, or no-contact orders have been issued to protect the incapacitated person from the person seeking access to the incapacitated person;</w:t>
      </w:r>
    </w:p>
    <w:p>
      <w:pPr>
        <w:spacing w:before="0" w:after="0" w:line="408" w:lineRule="exact"/>
        <w:ind w:left="0" w:right="0" w:firstLine="576"/>
        <w:jc w:val="left"/>
      </w:pPr>
      <w:r>
        <w:rPr/>
        <w:t xml:space="preserve">(b) Whether abuse, neglect, or financial exploitation of the incapacitated person by the person seeking access to the incapacitated person has occurred or is likely to occur;</w:t>
      </w:r>
    </w:p>
    <w:p>
      <w:pPr>
        <w:spacing w:before="0" w:after="0" w:line="408" w:lineRule="exact"/>
        <w:ind w:left="0" w:right="0" w:firstLine="576"/>
        <w:jc w:val="left"/>
      </w:pPr>
      <w:r>
        <w:rPr/>
        <w:t xml:space="preserve">(c) Any documented wishes of the incapacitated person regarding communication, visitation, or interaction with the person seeking access; and</w:t>
      </w:r>
    </w:p>
    <w:p>
      <w:pPr>
        <w:spacing w:before="0" w:after="0" w:line="408" w:lineRule="exact"/>
        <w:ind w:left="0" w:right="0" w:firstLine="576"/>
        <w:jc w:val="left"/>
      </w:pPr>
      <w:r>
        <w:rPr/>
        <w:t xml:space="preserve">(d) Any other factors deemed relevant by the court.</w:t>
      </w:r>
    </w:p>
    <w:p>
      <w:pPr>
        <w:spacing w:before="0" w:after="0" w:line="408" w:lineRule="exact"/>
        <w:ind w:left="0" w:right="0" w:firstLine="576"/>
        <w:jc w:val="left"/>
      </w:pPr>
      <w:r>
        <w:rPr/>
        <w:t xml:space="preserve">(4) If a guardian or limited guardian has grounds to believe that there is an immediate need to prevent or limit the incapacitated person's contact with another person in order to protect the incapacitated person from abuse, neglect, abandonment, or financial exploitation, as those terms are defined in RCW 74.34.020, the guardian may prevent or limit contact without a court order for the period necessary to prepare and file a petition for a vulnerable adult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t xml:space="preserve">It shall be the duty of the guardian or limited guardian of the person:</w:t>
      </w:r>
    </w:p>
    <w:p>
      <w:pPr>
        <w:spacing w:before="0" w:after="0" w:line="408" w:lineRule="exact"/>
        <w:ind w:left="0" w:right="0" w:firstLine="576"/>
        <w:jc w:val="left"/>
      </w:pPr>
      <w:r>
        <w:rPr/>
        <w:t xml:space="preserve">(1) To file within three months after appointment a personal care plan for the incapacitated person which shall include (a) an assessment of the incapacitated person's physical, mental, and emotional needs and of such person's ability to perform or assist in activities of daily living, and (b) the guardian's specific plan for meeting the identified and emerging personal care needs of the incapacitated person.</w:t>
      </w:r>
    </w:p>
    <w:p>
      <w:pPr>
        <w:spacing w:before="0" w:after="0" w:line="408" w:lineRule="exact"/>
        <w:ind w:left="0" w:right="0" w:firstLine="576"/>
        <w:jc w:val="left"/>
      </w:pPr>
      <w:r>
        <w:rPr/>
        <w:t xml:space="preserve">(2)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rPr/>
        <w:t xml:space="preserve">(a) The address and name of the incapacitated person and all residential changes during the period;</w:t>
      </w:r>
    </w:p>
    <w:p>
      <w:pPr>
        <w:spacing w:before="0" w:after="0" w:line="408" w:lineRule="exact"/>
        <w:ind w:left="0" w:right="0" w:firstLine="576"/>
        <w:jc w:val="left"/>
      </w:pPr>
      <w:r>
        <w:rPr/>
        <w:t xml:space="preserve">(b) The services or programs which the incapacitated person receives;</w:t>
      </w:r>
    </w:p>
    <w:p>
      <w:pPr>
        <w:spacing w:before="0" w:after="0" w:line="408" w:lineRule="exact"/>
        <w:ind w:left="0" w:right="0" w:firstLine="576"/>
        <w:jc w:val="left"/>
      </w:pPr>
      <w:r>
        <w:rPr/>
        <w:t xml:space="preserve">(c) The medical status of the incapacitated person;</w:t>
      </w:r>
    </w:p>
    <w:p>
      <w:pPr>
        <w:spacing w:before="0" w:after="0" w:line="408" w:lineRule="exact"/>
        <w:ind w:left="0" w:right="0" w:firstLine="576"/>
        <w:jc w:val="left"/>
      </w:pPr>
      <w:r>
        <w:rPr/>
        <w:t xml:space="preserve">(d) The mental status of the incapacitated person;</w:t>
      </w:r>
    </w:p>
    <w:p>
      <w:pPr>
        <w:spacing w:before="0" w:after="0" w:line="408" w:lineRule="exact"/>
        <w:ind w:left="0" w:right="0" w:firstLine="576"/>
        <w:jc w:val="left"/>
      </w:pPr>
      <w:r>
        <w:rPr/>
        <w:t xml:space="preserve">(e) Changes in the functional abilities of the incapacitated person;</w:t>
      </w:r>
    </w:p>
    <w:p>
      <w:pPr>
        <w:spacing w:before="0" w:after="0" w:line="408" w:lineRule="exact"/>
        <w:ind w:left="0" w:right="0" w:firstLine="576"/>
        <w:jc w:val="left"/>
      </w:pPr>
      <w:r>
        <w:rPr/>
        <w:t xml:space="preserve">(f) Activities of the guardian for the period;</w:t>
      </w:r>
    </w:p>
    <w:p>
      <w:pPr>
        <w:spacing w:before="0" w:after="0" w:line="408" w:lineRule="exact"/>
        <w:ind w:left="0" w:right="0" w:firstLine="576"/>
        <w:jc w:val="left"/>
      </w:pPr>
      <w:r>
        <w:rPr/>
        <w:t xml:space="preserve">(g) Any recommended changes in the scope of the authority of the guardian;</w:t>
      </w:r>
    </w:p>
    <w:p>
      <w:pPr>
        <w:spacing w:before="0" w:after="0" w:line="408" w:lineRule="exact"/>
        <w:ind w:left="0" w:right="0" w:firstLine="576"/>
        <w:jc w:val="left"/>
      </w:pPr>
      <w:r>
        <w:rPr/>
        <w:t xml:space="preserve">(h) The identity of any professionals who have assisted the incapacitated person during the period;</w:t>
      </w:r>
    </w:p>
    <w:p>
      <w:pPr>
        <w:spacing w:before="0" w:after="0" w:line="408" w:lineRule="exact"/>
        <w:ind w:left="0" w:right="0" w:firstLine="576"/>
        <w:jc w:val="left"/>
      </w:pPr>
      <w:r>
        <w:rPr/>
        <w:t xml:space="preserve">(i)(i) Evidence of the guardian or limited guardian's successful completion of any standardized training video or web cast for guardians or limited guardians made available by the administrative office of the courts and the superior court when the guardian or limited guardian: (A) Was appointed prior to July 22, 2011; (B) is not a certified professional guardian or financial institution authorized under RCW 11.88.020; and (C)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rPr/>
        <w:t xml:space="preserve">(ii) The superior court may, upon (A) petition by the guardian or limited guardian; or (B)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shall require evidence that the guardian already possesses the requisite knowledge to serve as a guardian without completing the training. When determining whether there is good cause to waive the training requirement, the court shall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rPr/>
        <w:t xml:space="preserve">(j)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rPr/>
        <w:t xml:space="preserve">(3)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rPr/>
        <w:t xml:space="preserve">(4) </w:t>
      </w:r>
      <w:r>
        <w:rPr>
          <w:u w:val="single"/>
        </w:rPr>
        <w:t xml:space="preserve">To promptly inform any relatives entitled to notice of proceedings under RCW 11.92.150 and any other person designated by the incapacitated person if the incapacitated person:</w:t>
      </w:r>
    </w:p>
    <w:p>
      <w:pPr>
        <w:spacing w:before="0" w:after="0" w:line="408" w:lineRule="exact"/>
        <w:ind w:left="0" w:right="0" w:firstLine="576"/>
        <w:jc w:val="left"/>
      </w:pPr>
      <w:r>
        <w:rPr>
          <w:u w:val="single"/>
        </w:rPr>
        <w:t xml:space="preserve">(a) Changes residence or is staying at a location other than his or her residence;</w:t>
      </w:r>
    </w:p>
    <w:p>
      <w:pPr>
        <w:spacing w:before="0" w:after="0" w:line="408" w:lineRule="exact"/>
        <w:ind w:left="0" w:right="0" w:firstLine="576"/>
        <w:jc w:val="left"/>
      </w:pPr>
      <w:r>
        <w:rPr>
          <w:u w:val="single"/>
        </w:rPr>
        <w:t xml:space="preserve">(b) Has been admitted to a medical facility for emergency care in response to a life-threatening injury or medical condition, or for acute care; or</w:t>
      </w:r>
    </w:p>
    <w:p>
      <w:pPr>
        <w:spacing w:before="0" w:after="0" w:line="408" w:lineRule="exact"/>
        <w:ind w:left="0" w:right="0" w:firstLine="576"/>
        <w:jc w:val="left"/>
      </w:pPr>
      <w:r>
        <w:rPr>
          <w:u w:val="single"/>
        </w:rPr>
        <w:t xml:space="preserve">(c) Dies, in which case the notification must be made in person or by telephone.</w:t>
      </w:r>
    </w:p>
    <w:p>
      <w:pPr>
        <w:spacing w:before="0" w:after="0" w:line="408" w:lineRule="exact"/>
        <w:ind w:left="0" w:right="0" w:firstLine="576"/>
        <w:jc w:val="left"/>
      </w:pPr>
      <w:r>
        <w:rPr/>
        <w:t xml:space="preserve"> </w:t>
      </w:r>
      <w:r>
        <w:rPr>
          <w:u w:val="single"/>
        </w:rPr>
        <w:t xml:space="preserve">(5)</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shall be construed to allow a guardian, limited guardian, or standby guardian to consent to:</w:t>
      </w:r>
    </w:p>
    <w:p>
      <w:pPr>
        <w:spacing w:before="0" w:after="0" w:line="408" w:lineRule="exact"/>
        <w:ind w:left="0" w:right="0" w:firstLine="576"/>
        <w:jc w:val="left"/>
      </w:pPr>
      <w:r>
        <w:rPr/>
        <w:t xml:space="preserve">(a) Therapy or other procedure which induces convulsion;</w:t>
      </w:r>
    </w:p>
    <w:p>
      <w:pPr>
        <w:spacing w:before="0" w:after="0" w:line="408" w:lineRule="exact"/>
        <w:ind w:left="0" w:right="0" w:firstLine="576"/>
        <w:jc w:val="left"/>
      </w:pPr>
      <w:r>
        <w:rPr/>
        <w:t xml:space="preserve">(b) Surgery solely for the purpose of psychosurgery;</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
      <w:pPr>
        <w:jc w:val="center"/>
      </w:pPr>
      <w:r>
        <w:rPr>
          <w:b/>
        </w:rPr>
        <w:t>--- END ---</w:t>
      </w:r>
    </w:p>
    <w:sectPr>
      <w:pgNumType w:start="1"/>
      <w:footerReference xmlns:r="http://schemas.openxmlformats.org/officeDocument/2006/relationships" r:id="Re83fa158243b4b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8c6e9c0d384366" /><Relationship Type="http://schemas.openxmlformats.org/officeDocument/2006/relationships/footer" Target="/word/footer.xml" Id="Re83fa158243b4bb8" /></Relationships>
</file>