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b884ecbfd341f2" /></Relationships>
</file>

<file path=word/document.xml><?xml version="1.0" encoding="utf-8"?>
<w:document xmlns:w="http://schemas.openxmlformats.org/wordprocessingml/2006/main">
  <w:body>
    <w:p>
      <w:r>
        <w:t>H-3697.1</w:t>
      </w:r>
    </w:p>
    <w:p>
      <w:pPr>
        <w:jc w:val="center"/>
      </w:pPr>
      <w:r>
        <w:t>_______________________________________________</w:t>
      </w:r>
    </w:p>
    <w:p/>
    <w:p>
      <w:pPr>
        <w:jc w:val="center"/>
      </w:pPr>
      <w:r>
        <w:rPr>
          <w:b/>
        </w:rPr>
        <w:t>HOUSE BILL 2794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Orwall</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initial detention determinations by designated mental health professionals; and amending RCW 71.05.153.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2015 c 269 s 6 are each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Within twelve hours of notice of the need for evaluation, not counting time periods prior to medical clearance,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w:t>
      </w:r>
      <w:r>
        <w:rPr>
          <w:u w:val="single"/>
        </w:rPr>
        <w:t xml:space="preserve">(a) In every case in which a person is taken into custody by a peace officer under subsection (2)(b) of this section and the following criteria apply, a designated mental health professional must conduct an evaluation and make an initial detention determination:</w:t>
      </w:r>
    </w:p>
    <w:p>
      <w:pPr>
        <w:spacing w:before="0" w:after="0" w:line="408" w:lineRule="exact"/>
        <w:ind w:left="0" w:right="0" w:firstLine="576"/>
        <w:jc w:val="left"/>
      </w:pPr>
      <w:r>
        <w:rPr>
          <w:u w:val="single"/>
        </w:rPr>
        <w:t xml:space="preserve">(i) The person was taken into custody based on the peace officer's belief that the person presents an imminent likelihood of serious harm; and</w:t>
      </w:r>
    </w:p>
    <w:p>
      <w:pPr>
        <w:spacing w:before="0" w:after="0" w:line="408" w:lineRule="exact"/>
        <w:ind w:left="0" w:right="0" w:firstLine="576"/>
        <w:jc w:val="left"/>
      </w:pPr>
      <w:r>
        <w:rPr>
          <w:u w:val="single"/>
        </w:rPr>
        <w:t xml:space="preserve">(ii) In the course of taking the person into custody the peace officer removed a firearm or other potentially lethal means from the person that the officer believes the person intended to use for self-harm or harm of others.</w:t>
      </w:r>
    </w:p>
    <w:p>
      <w:pPr>
        <w:spacing w:before="0" w:after="0" w:line="408" w:lineRule="exact"/>
        <w:ind w:left="0" w:right="0" w:firstLine="576"/>
        <w:jc w:val="left"/>
      </w:pPr>
      <w:r>
        <w:rPr>
          <w:u w:val="single"/>
        </w:rPr>
        <w:t xml:space="preserve">(b) The officer must notify the facility to which the person is delivered when the circumstances in (a) of this subsection apply. Upon receiving notice, the facility must notify a designated mental health professional of the need for an evaluation and hold the person for the allowable time periods outlined in this section in order to facilitate the evaluation.</w:t>
      </w:r>
    </w:p>
    <w:p>
      <w:pPr>
        <w:spacing w:before="0" w:after="0" w:line="408" w:lineRule="exact"/>
        <w:ind w:left="0" w:right="0" w:firstLine="576"/>
        <w:jc w:val="left"/>
      </w:pPr>
      <w:r>
        <w:rPr>
          <w:u w:val="single"/>
        </w:rPr>
        <w:t xml:space="preserve">(6)</w:t>
      </w:r>
      <w:r>
        <w:rPr/>
        <w:t xml:space="preserve">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
      <w:pPr>
        <w:jc w:val="center"/>
      </w:pPr>
      <w:r>
        <w:rPr>
          <w:b/>
        </w:rPr>
        <w:t>--- END ---</w:t>
      </w:r>
    </w:p>
    <w:sectPr>
      <w:pgNumType w:start="1"/>
      <w:footerReference xmlns:r="http://schemas.openxmlformats.org/officeDocument/2006/relationships" r:id="Rc25dc43790d44a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e7d7cbe4124d46" /><Relationship Type="http://schemas.openxmlformats.org/officeDocument/2006/relationships/footer" Target="/word/footer.xml" Id="Rc25dc43790d44a9e" /></Relationships>
</file>