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061ee17f44a9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Shea, Short, Schmick, Taylor, Scott, and McCaslin)</w:t>
      </w:r>
    </w:p>
    <w:p/>
    <w:p>
      <w:r>
        <w:rPr>
          <w:t xml:space="preserve">READ FIRST TIME 02/01/16.  </w:t>
        </w:rPr>
      </w:r>
    </w:p>
    <w:p>
      <w:r>
        <w:br/>
      </w:r>
    </w:p>
    <w:p>
      <w:r>
        <w:fldChar w:fldCharType="begin"/>
      </w:r>
      <w:r>
        <w:instrText xml:space="default"> ADVANCE \y328 </w:instrText>
      </w:r>
      <w:r>
        <w:fldChar w:fldCharType="end"/>
      </w:r>
    </w:p>
    <w:p>
      <w:pPr>
        <w:ind w:left="0" w:right="0" w:firstLine="360"/>
        <w:jc w:val="both"/>
      </w:pPr>
      <w:r>
        <w:rPr/>
        <w:t xml:space="preserve">AN ACT Relating to ensuring that restrictions on the use of solid fuel burning devices do not prohibit the installation or replacement of solid fuel burning devices or the use of these devices during temporary outages of other sources of heat; and amending RCW 70.94.473.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2012 c 219 s 1 are each amended to read as follows:</w:t>
      </w:r>
    </w:p>
    <w:p>
      <w:pPr>
        <w:ind w:left="0" w:right="0" w:firstLine="360"/>
        <w:jc w:val="both"/>
      </w:pPr>
      <w:r>
        <w:rPr/>
        <w:t xml:space="preserve">(1) Any person in a residence or commercial establishment which has an adequate source of heat without burning wood shall:</w:t>
      </w:r>
    </w:p>
    <w:p>
      <w:pPr>
        <w:ind w:left="0" w:right="0" w:firstLine="360"/>
        <w:jc w:val="both"/>
      </w:pPr>
      <w:r>
        <w:rPr/>
        <w:t xml:space="preserve">(a) Not burn wood in any solid fuel burning device whenever the department has determined under RCW 70.94.715 that any air pollution episode exists in that area;</w:t>
      </w:r>
    </w:p>
    <w:p>
      <w:pPr>
        <w:ind w:left="0" w:right="0" w:firstLine="360"/>
        <w:jc w:val="both"/>
      </w:pPr>
      <w:r>
        <w:rPr/>
        <w:t xml:space="preserve">(b) Not burn wood in any solid fuel burning device except those which are either Oregon department of environmental quality phase II or United States environmental protection agency certified or certified by the department under RCW 70.94.457(1)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ind w:left="0" w:right="0" w:firstLine="360"/>
        <w:jc w:val="both"/>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ind w:left="0" w:right="0" w:firstLine="360"/>
        <w:jc w:val="both"/>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ind w:left="0" w:right="0" w:firstLine="360"/>
        <w:jc w:val="both"/>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ind w:left="0" w:right="0" w:firstLine="360"/>
        <w:jc w:val="both"/>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ind w:left="0" w:right="0" w:firstLine="360"/>
        <w:jc w:val="both"/>
      </w:pPr>
      <w:r>
        <w:rPr/>
        <w:t xml:space="preserve">(A) Fine particulate levels have reached or exceeded twenty-five micrograms per cubic meter, measured on a twenty</w:t>
      </w:r>
      <w:r>
        <w:rPr/>
        <w:noBreakHyphen/>
      </w:r>
      <w:r>
        <w:rPr/>
        <w:t xml:space="preserve">four hour average;</w:t>
      </w:r>
    </w:p>
    <w:p>
      <w:pPr>
        <w:ind w:left="0" w:right="0" w:firstLine="360"/>
        <w:jc w:val="both"/>
      </w:pPr>
      <w:r>
        <w:rPr/>
        <w:t xml:space="preserve">(B) Meteorological conditions have caused fine particulate levels to rise rapidly;</w:t>
      </w:r>
    </w:p>
    <w:p>
      <w:pPr>
        <w:ind w:left="0" w:right="0" w:firstLine="360"/>
        <w:jc w:val="both"/>
      </w:pPr>
      <w:r>
        <w:rPr/>
        <w:t xml:space="preserve">(C) Meteorological conditions are predicted to cause fine particulate levels to exceed the thirty-five micrograms per cubic meter, measured on a twenty-four hour average, within twenty-four hours; and</w:t>
      </w:r>
    </w:p>
    <w:p>
      <w:pPr>
        <w:ind w:left="0" w:right="0" w:firstLine="360"/>
        <w:jc w:val="both"/>
      </w:pPr>
      <w:r>
        <w:rPr/>
        <w:t xml:space="preserve">(D) Meteorological conditions are highly likely to prevent sufficient dispersion of fine particulate.</w:t>
      </w:r>
    </w:p>
    <w:p>
      <w:pPr>
        <w:ind w:left="0" w:right="0" w:firstLine="360"/>
        <w:jc w:val="both"/>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ind w:left="0" w:right="0" w:firstLine="360"/>
        <w:jc w:val="both"/>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ind w:left="0" w:right="0" w:firstLine="360"/>
        <w:jc w:val="both"/>
      </w:pPr>
      <w:r>
        <w:rPr/>
        <w:t xml:space="preserve">(3)</w:t>
      </w:r>
      <w:r>
        <w:rPr>
          <w:u w:val="single"/>
        </w:rPr>
        <w:t xml:space="preserve">(a)</w:t>
      </w:r>
      <w:r>
        <w:rPr/>
        <w:t xml:space="preserve"> The department or any local air pollution control authority that has called a second stage burn ban under the authority of subsection (1)(c)(ii) of this section shall, within ninety days, prepare a written report describing:</w:t>
      </w:r>
    </w:p>
    <w:p>
      <w:pPr>
        <w:ind w:left="0" w:right="0" w:firstLine="360"/>
        <w:jc w:val="both"/>
      </w:pPr>
      <w:r>
        <w:t>((</w:t>
      </w:r>
      <w:r>
        <w:rPr>
          <w:strike/>
        </w:rPr>
        <w:t xml:space="preserve">(a)</w:t>
      </w:r>
      <w:r>
        <w:t>))</w:t>
      </w:r>
      <w:r>
        <w:rPr/>
        <w:t xml:space="preserve"> </w:t>
      </w:r>
      <w:r>
        <w:rPr>
          <w:u w:val="single"/>
        </w:rPr>
        <w:t xml:space="preserve">(i)</w:t>
      </w:r>
      <w:r>
        <w:rPr/>
        <w:t xml:space="preserve"> The meteorological conditions that resulted in their calling the second stage burn ban;</w:t>
      </w:r>
    </w:p>
    <w:p>
      <w:pPr>
        <w:ind w:left="0" w:right="0" w:firstLine="360"/>
        <w:jc w:val="both"/>
      </w:pPr>
      <w:r>
        <w:t>((</w:t>
      </w:r>
      <w:r>
        <w:rPr>
          <w:strike/>
        </w:rPr>
        <w:t xml:space="preserve">(b)</w:t>
      </w:r>
      <w:r>
        <w:t>))</w:t>
      </w:r>
      <w:r>
        <w:rPr/>
        <w:t xml:space="preserve"> </w:t>
      </w:r>
      <w:r>
        <w:rPr>
          <w:u w:val="single"/>
        </w:rPr>
        <w:t xml:space="preserve">(ii)</w:t>
      </w:r>
      <w:r>
        <w:rPr/>
        <w:t xml:space="preserve"> Whether the agency could have taken actions to avoid calling a second stage burn ban without calling a first stage burn ban; and</w:t>
      </w:r>
    </w:p>
    <w:p>
      <w:pPr>
        <w:ind w:left="0" w:right="0" w:firstLine="360"/>
        <w:jc w:val="both"/>
      </w:pPr>
      <w:r>
        <w:t>((</w:t>
      </w:r>
      <w:r>
        <w:rPr>
          <w:strike/>
        </w:rPr>
        <w:t xml:space="preserve">(c)</w:t>
      </w:r>
      <w:r>
        <w:t>))</w:t>
      </w:r>
      <w:r>
        <w:rPr/>
        <w:t xml:space="preserve"> </w:t>
      </w:r>
      <w:r>
        <w:rPr>
          <w:u w:val="single"/>
        </w:rPr>
        <w:t xml:space="preserve">(iii)</w:t>
      </w:r>
      <w:r>
        <w:rPr/>
        <w:t xml:space="preserve"> Any changes the department or authority is making to its procedures of calling first stage and second stage burn bans to avoid calling a second stage burn ban without first calling a first stage burn ban.</w:t>
      </w:r>
    </w:p>
    <w:p>
      <w:pPr>
        <w:ind w:left="0" w:right="0" w:firstLine="360"/>
        <w:jc w:val="both"/>
      </w:pPr>
      <w:r>
        <w:rPr>
          <w:u w:val="single"/>
        </w:rPr>
        <w:t xml:space="preserve">(b)</w:t>
      </w:r>
      <w:r>
        <w:rPr/>
        <w:t xml:space="preserve">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ind w:left="0" w:right="0" w:firstLine="360"/>
        <w:jc w:val="both"/>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ind w:left="0" w:right="0" w:firstLine="360"/>
        <w:jc w:val="both"/>
      </w:pPr>
      <w:r>
        <w:rPr>
          <w:u w:val="single"/>
        </w:rPr>
        <w:t xml:space="preserve">(5)(a) Nothing in this section restricts a person from installing or repairing a certified solid fuel burning device approved by the department under the program established under RCW 70.94.457 in a residence or commercial establishment or from replacing a solid fuel burning device with a certified solid fuel burning device. Nothing in this section restricts a person from burning wood in a solid fuel burning device, regardless of whether a burn ban has been called, if there is an emergency power outage. In addition, for the duration of an emergency power outage, nothing restricts the use of a solid fuel burning device or the temporary installation, repair, or replacement of a solid fuel burning device to prevent the loss of life, health, or business.</w:t>
      </w:r>
    </w:p>
    <w:p>
      <w:pPr>
        <w:ind w:left="0" w:right="0" w:firstLine="360"/>
        <w:jc w:val="both"/>
      </w:pPr>
      <w:r>
        <w:rPr>
          <w:u w:val="single"/>
        </w:rPr>
        <w:t xml:space="preserve">(b) For the purposes of this subsection, an emergency power outage includes:</w:t>
      </w:r>
    </w:p>
    <w:p>
      <w:pPr>
        <w:ind w:left="0" w:right="0" w:firstLine="360"/>
        <w:jc w:val="both"/>
      </w:pPr>
      <w:r>
        <w:rPr>
          <w:u w:val="single"/>
        </w:rPr>
        <w:t xml:space="preserve">(i) Any natural or human-caused event beyond the control of a person that leave the person's residence or commercial establishment temporarily without an adequate source of heat other than the solid fuel burning device; or</w:t>
      </w:r>
    </w:p>
    <w:p>
      <w:pPr>
        <w:ind w:left="0" w:right="0" w:firstLine="360"/>
        <w:jc w:val="both"/>
      </w:pPr>
      <w:r>
        <w:rPr>
          <w:u w:val="single"/>
        </w:rPr>
        <w:t xml:space="preserve">(ii) A natural or human-caused event for which the governor declares an emergency in an area under chapter 43.06 RCW, including a public disorder, disaster, or energy emergency under RCW 43.06.010(12).</w:t>
      </w:r>
    </w:p>
    <w:p/>
    <w:p>
      <w:pPr>
        <w:jc w:val="center"/>
      </w:pPr>
      <w:r>
        <w:rPr>
          <w:b/>
        </w:rPr>
        <w:t>--- END ---</w:t>
      </w:r>
    </w:p>
    <w:sectPr>
      <w:pgNumType w:start="1"/>
      <w:footerReference xmlns:r="http://schemas.openxmlformats.org/officeDocument/2006/relationships" r:id="R79fb514be84541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ec8f4fe3054625" /><Relationship Type="http://schemas.openxmlformats.org/officeDocument/2006/relationships/footer" Target="/word/footer.xml" Id="R79fb514be845411e" /></Relationships>
</file>