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6a4fc9f55432b" /></Relationships>
</file>

<file path=word/document.xml><?xml version="1.0" encoding="utf-8"?>
<w:document xmlns:w="http://schemas.openxmlformats.org/wordprocessingml/2006/main">
  <w:body>
    <w:p>
      <w:r>
        <w:t>H-3632.3</w:t>
      </w:r>
    </w:p>
    <w:p>
      <w:pPr>
        <w:jc w:val="center"/>
      </w:pPr>
      <w:r>
        <w:t>_______________________________________________</w:t>
      </w:r>
    </w:p>
    <w:p/>
    <w:p>
      <w:pPr>
        <w:jc w:val="center"/>
      </w:pPr>
      <w:r>
        <w:rPr>
          <w:b/>
        </w:rPr>
        <w:t>HOUSE BILL 2763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and McBride</w:t>
      </w:r>
    </w:p>
    <w:p/>
    <w:p>
      <w:r>
        <w:rPr>
          <w:t xml:space="preserve">Read first time 01/20/16.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the state environmental policy act to encourage development that is consistent with forward-looking growth plans; and amending RCW 43.21C.420 and 36.70A.490.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t xml:space="preserve">(d)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rPr/>
        <w:t xml:space="preserve">(e)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t xml:space="preserve">(g) As an incentive for development authorized under this section, a city shall consider establishing a transfer of development rights program in consultation with the county where the city is located, that conserves county-designated agricultural and forest 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(4)(g)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2028</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 as follows:</w:t>
      </w:r>
    </w:p>
    <w:p>
      <w:pPr>
        <w:spacing w:before="0" w:after="0" w:line="408" w:lineRule="exact"/>
        <w:ind w:left="0" w:right="0" w:firstLine="576"/>
        <w:jc w:val="left"/>
      </w:pPr>
      <w:r>
        <w:rPr>
          <w:u w:val="single"/>
        </w:rPr>
        <w:t xml:space="preserve">(i) Eighteen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(a) of this subsection as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twenty percent of the dwelling units within the development for low-income households at a sale price or rental amount that is considered affordable by a city's housing programs;</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2028</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2028</w:t>
      </w:r>
      <w:r>
        <w:rPr/>
        <w:t xml:space="preserve">. After July 1, </w:t>
      </w:r>
      <w:r>
        <w:t>((</w:t>
      </w:r>
      <w:r>
        <w:rPr>
          <w:strike/>
        </w:rPr>
        <w:t xml:space="preserve">2018</w:t>
      </w:r>
      <w:r>
        <w:t>))</w:t>
      </w:r>
      <w:r>
        <w:rPr/>
        <w:t xml:space="preserve"> </w:t>
      </w:r>
      <w:r>
        <w:rPr>
          <w:u w:val="single"/>
        </w:rPr>
        <w:t xml:space="preserve">2028</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or 36.70A.500</w:t>
      </w:r>
      <w:r>
        <w:rPr>
          <w:u w:val="single"/>
        </w:rPr>
        <w:t xml:space="preserve">,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
      <w:pPr>
        <w:jc w:val="center"/>
      </w:pPr>
      <w:r>
        <w:rPr>
          <w:b/>
        </w:rPr>
        <w:t>--- END ---</w:t>
      </w:r>
    </w:p>
    <w:sectPr>
      <w:pgNumType w:start="1"/>
      <w:footerReference xmlns:r="http://schemas.openxmlformats.org/officeDocument/2006/relationships" r:id="R57cf7594914944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2f6393d94f490e" /><Relationship Type="http://schemas.openxmlformats.org/officeDocument/2006/relationships/footer" Target="/word/footer.xml" Id="R57cf7594914944e1" /></Relationships>
</file>