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4d78fa0db6454b" /></Relationships>
</file>

<file path=word/document.xml><?xml version="1.0" encoding="utf-8"?>
<w:document xmlns:w="http://schemas.openxmlformats.org/wordprocessingml/2006/main">
  <w:body>
    <w:p>
      <w:r>
        <w:t>H-3529.4</w:t>
      </w:r>
    </w:p>
    <w:p>
      <w:pPr>
        <w:jc w:val="center"/>
      </w:pPr>
      <w:r>
        <w:t>_______________________________________________</w:t>
      </w:r>
    </w:p>
    <w:p/>
    <w:p>
      <w:pPr>
        <w:jc w:val="center"/>
      </w:pPr>
      <w:r>
        <w:rPr>
          <w:b/>
        </w:rPr>
        <w:t>HOUSE BILL 2759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Wylie, S. Hunt, Reykdal, Rossetti, Kilduff, and Stanford</w:t>
      </w:r>
    </w:p>
    <w:p/>
    <w:p>
      <w:r>
        <w:rPr>
          <w:t xml:space="preserve">Read first time 01/20/16.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property tax exemptions for service-connected disabled veterans and senior citizens; amending RCW 84.36.381, 84.36.383, 84.36.385, and 84.38.020; reenacting and amending RCW 84.38.030; creating new sections; and providing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(2) It is the legislature's specific public policy objective to provide tax relief to senior citizens, disabled persons, and veterans. The legislature recognizes that property taxes impose a substantial financial burden on those with fixed incomes and that property tax relief programs have considerable value in addressing this burden. It is the legislature's intent to establish a mechanism for adjusting income thresholds into the future. Income thresholds were last adjusted in 2015.</w:t>
      </w:r>
    </w:p>
    <w:p>
      <w:pPr>
        <w:spacing w:before="0" w:after="0" w:line="408" w:lineRule="exact"/>
        <w:ind w:left="0" w:right="0" w:firstLine="576"/>
        <w:jc w:val="left"/>
      </w:pPr>
      <w:r>
        <w:rPr/>
        <w:t xml:space="preserve">(3) The expansion is meant to be permanent and, therefore, not subject to the ten-year expiration provision in RCW 82.32.805(1)(a).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2015 3rd sp.s. c 30 s 2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 a total disability rating for a service-connected disability.</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who otherwise qualifies under this section and has a combined disposable income </w:t>
      </w:r>
      <w:r>
        <w:t>((</w:t>
      </w:r>
      <w:r>
        <w:rPr>
          <w:strike/>
        </w:rPr>
        <w:t xml:space="preserve">of forty thousand dollars or less</w:t>
      </w:r>
      <w:r>
        <w:t>))</w:t>
      </w:r>
      <w:r>
        <w:rPr/>
        <w:t xml:space="preserve"> </w:t>
      </w:r>
      <w:r>
        <w:rPr>
          <w:u w:val="single"/>
        </w:rPr>
        <w:t xml:space="preserve">equal to or less than income threshold 3</w:t>
      </w:r>
      <w:r>
        <w:rPr/>
        <w:t xml:space="preserve"> is exempt from all excess property taxes; and</w:t>
      </w:r>
    </w:p>
    <w:p>
      <w:pPr>
        <w:spacing w:before="0" w:after="0" w:line="408" w:lineRule="exact"/>
        <w:ind w:left="0" w:right="0" w:firstLine="576"/>
        <w:jc w:val="left"/>
      </w:pPr>
      <w:r>
        <w:rPr/>
        <w:t xml:space="preserve">(b)(i) A person who otherwise qualifies under this section and has a combined disposable income </w:t>
      </w:r>
      <w:r>
        <w:t>((</w:t>
      </w:r>
      <w:r>
        <w:rPr>
          <w:strike/>
        </w:rPr>
        <w:t xml:space="preserve">of thirty-five thousand dollars or less but greater than thirty thousand dollars</w:t>
      </w:r>
      <w:r>
        <w:t>))</w:t>
      </w:r>
      <w:r>
        <w:rPr/>
        <w:t xml:space="preserve"> </w:t>
      </w:r>
      <w:r>
        <w:rPr>
          <w:u w:val="single"/>
        </w:rPr>
        <w:t xml:space="preserve">equal to or less than income threshold 2 but greater than income threshold 1</w:t>
      </w:r>
      <w:r>
        <w:rPr/>
        <w:t xml:space="preserve">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w:t>
      </w:r>
      <w:r>
        <w:t>((</w:t>
      </w:r>
      <w:r>
        <w:rPr>
          <w:strike/>
        </w:rPr>
        <w:t xml:space="preserve">of thirty thousand dollars or less</w:t>
      </w:r>
      <w:r>
        <w:t>))</w:t>
      </w:r>
      <w:r>
        <w:rPr/>
        <w:t xml:space="preserve"> </w:t>
      </w:r>
      <w:r>
        <w:rPr>
          <w:u w:val="single"/>
        </w:rPr>
        <w:t xml:space="preserve">equal to or less than income threshold 1</w:t>
      </w:r>
      <w:r>
        <w:rPr/>
        <w:t xml:space="preserve">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w:t>
      </w:r>
      <w:r>
        <w:t>((</w:t>
      </w:r>
      <w:r>
        <w:rPr>
          <w:strike/>
        </w:rPr>
        <w:t xml:space="preserve">of forty thousand dollars or less</w:t>
      </w:r>
      <w:r>
        <w:t>))</w:t>
      </w:r>
      <w:r>
        <w:rPr/>
        <w:t xml:space="preserve"> </w:t>
      </w:r>
      <w:r>
        <w:rPr>
          <w:u w:val="single"/>
        </w:rPr>
        <w:t xml:space="preserve">equal to or less than income threshold 3</w:t>
      </w:r>
      <w:r>
        <w:rPr/>
        <w:t xml:space="preserve">,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2012 c 10 s 74 are each amended to read as follows:</w:t>
      </w:r>
    </w:p>
    <w:p>
      <w:pPr>
        <w:spacing w:before="0" w:after="0" w:line="408" w:lineRule="exact"/>
        <w:ind w:left="0" w:right="0" w:firstLine="576"/>
        <w:jc w:val="left"/>
      </w:pPr>
      <w:r>
        <w:rPr/>
        <w:t xml:space="preserve">As used in RCW 84.36.381 through 84.36.389, </w:t>
      </w:r>
      <w:r>
        <w:t>((</w:t>
      </w:r>
      <w:r>
        <w:rPr>
          <w:strike/>
        </w:rPr>
        <w:t xml:space="preserve">except where the context clearly indicates a different meaning</w:t>
      </w:r>
      <w:r>
        <w:t>))</w:t>
      </w:r>
      <w:r>
        <w:rPr/>
        <w:t xml:space="preserve"> </w:t>
      </w:r>
      <w:r>
        <w:rPr>
          <w:u w:val="single"/>
        </w:rPr>
        <w:t xml:space="preserve">unless the context clearly requires otherwise</w:t>
      </w:r>
      <w:r>
        <w:rPr/>
        <w:t xml:space="preserve">:</w:t>
      </w:r>
    </w:p>
    <w:p>
      <w:pPr>
        <w:spacing w:before="0" w:after="0" w:line="408" w:lineRule="exact"/>
        <w:ind w:left="0" w:right="0" w:firstLine="576"/>
        <w:jc w:val="left"/>
      </w:pPr>
      <w:r>
        <w:rPr/>
        <w:t xml:space="preserve">(1) The term "residence" means a single-family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0" w:after="0" w:line="408" w:lineRule="exact"/>
        <w:ind w:left="0" w:right="0" w:firstLine="576"/>
        <w:jc w:val="left"/>
      </w:pPr>
      <w:r>
        <w:rPr/>
        <w:t xml:space="preserve">(2)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(3) "Department" means the state department of revenue.</w:t>
      </w:r>
    </w:p>
    <w:p>
      <w:pPr>
        <w:spacing w:before="0" w:after="0" w:line="408" w:lineRule="exact"/>
        <w:ind w:left="0" w:right="0" w:firstLine="576"/>
        <w:jc w:val="left"/>
      </w:pPr>
      <w:r>
        <w:rPr/>
        <w:t xml:space="preserve">(4)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 </w:t>
      </w:r>
      <w:r>
        <w:t>((</w:t>
      </w:r>
      <w:r>
        <w:rPr>
          <w:strike/>
        </w:rPr>
        <w:t xml:space="preserve">and</w:t>
      </w:r>
      <w:r>
        <w:t>))</w:t>
      </w:r>
    </w:p>
    <w:p>
      <w:pPr>
        <w:spacing w:before="0" w:after="0" w:line="408" w:lineRule="exact"/>
        <w:ind w:left="0" w:right="0" w:firstLine="576"/>
        <w:jc w:val="left"/>
      </w:pPr>
      <w:r>
        <w:rPr/>
        <w:t xml:space="preserve">(c) </w:t>
      </w:r>
      <w:r>
        <w:t>((</w:t>
      </w:r>
      <w:r>
        <w:rPr>
          <w:strike/>
        </w:rPr>
        <w:t xml:space="preserve">Health care insurance premiums for medicare under Title XVIII of the social security act</w:t>
      </w:r>
      <w:r>
        <w:t>))</w:t>
      </w:r>
      <w:r>
        <w:rPr/>
        <w:t xml:space="preserve"> </w:t>
      </w:r>
      <w:r>
        <w:rPr>
          <w:u w:val="single"/>
        </w:rPr>
        <w:t xml:space="preserve">Health care insurance premiums for health care coverage, including dental coverage, vision coverage, copayments, and for medicare under Title XVIII of the social security act;</w:t>
      </w:r>
    </w:p>
    <w:p>
      <w:pPr>
        <w:spacing w:before="0" w:after="0" w:line="408" w:lineRule="exact"/>
        <w:ind w:left="0" w:right="0" w:firstLine="576"/>
        <w:jc w:val="left"/>
      </w:pPr>
      <w:r>
        <w:rPr>
          <w:u w:val="single"/>
        </w:rPr>
        <w:t xml:space="preserve">(d) Durable medical equipment and mobility enhancing equipment, as defined in RCW 82.08.0283; and</w:t>
      </w:r>
    </w:p>
    <w:p>
      <w:pPr>
        <w:spacing w:before="0" w:after="0" w:line="408" w:lineRule="exact"/>
        <w:ind w:left="0" w:right="0" w:firstLine="576"/>
        <w:jc w:val="left"/>
      </w:pPr>
      <w:r>
        <w:rPr>
          <w:u w:val="single"/>
        </w:rPr>
        <w:t xml:space="preserve">(e) Long-term care insurance, as defined in RCW 48.84.020</w:t>
      </w:r>
      <w:r>
        <w:rPr/>
        <w:t xml:space="preserve">.</w:t>
      </w:r>
    </w:p>
    <w:p>
      <w:pPr>
        <w:spacing w:before="0" w:after="0" w:line="408" w:lineRule="exact"/>
        <w:ind w:left="0" w:right="0" w:firstLine="576"/>
        <w:jc w:val="left"/>
      </w:pPr>
      <w:r>
        <w:rPr/>
        <w:t xml:space="preserve">(5)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(6) "Cotenant" means a person who resides with the person claiming the exemption and who has an ownership interest in the residence.</w:t>
      </w:r>
    </w:p>
    <w:p>
      <w:pPr>
        <w:spacing w:before="0" w:after="0" w:line="408" w:lineRule="exact"/>
        <w:ind w:left="0" w:right="0" w:firstLine="576"/>
        <w:jc w:val="left"/>
      </w:pPr>
      <w:r>
        <w:rPr/>
        <w:t xml:space="preserve">(7)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u w:val="single"/>
        </w:rPr>
        <w:t xml:space="preserve">(8) "Income threshold 1" means a combined disposable income equal to the greater of thirty thousand dollars or forty-five percent of the county median household income, adjusted by January 1, 2019, and January 1st of every fifth year thereafter, as provided in RCW 84.36.385(7).</w:t>
      </w:r>
    </w:p>
    <w:p>
      <w:pPr>
        <w:spacing w:before="0" w:after="0" w:line="408" w:lineRule="exact"/>
        <w:ind w:left="0" w:right="0" w:firstLine="576"/>
        <w:jc w:val="left"/>
      </w:pPr>
      <w:r>
        <w:rPr>
          <w:u w:val="single"/>
        </w:rPr>
        <w:t xml:space="preserve">(9) "Income threshold 2" means a combined disposable income equal to the greater of thirty-five thousand dollars or fifty-five percent of the county median household income, adjusted by January 1, 2019, and January 1st of every fifth year thereafter, as provided in RCW 84.36.385(7).</w:t>
      </w:r>
    </w:p>
    <w:p>
      <w:pPr>
        <w:spacing w:before="0" w:after="0" w:line="408" w:lineRule="exact"/>
        <w:ind w:left="0" w:right="0" w:firstLine="576"/>
        <w:jc w:val="left"/>
      </w:pPr>
      <w:r>
        <w:rPr>
          <w:u w:val="single"/>
        </w:rPr>
        <w:t xml:space="preserve">(10) "Income threshold 3" means a combined disposable income equal to the greater of forty thousand dollars or sixty-five percent of the county median household income, adjusted by January 1, 2019, and January 1st of every fifth year thereafter, as provided in RCW 84.36.385(7).</w:t>
      </w:r>
    </w:p>
    <w:p>
      <w:pPr>
        <w:spacing w:before="0" w:after="0" w:line="408" w:lineRule="exact"/>
        <w:ind w:left="0" w:right="0" w:firstLine="576"/>
        <w:jc w:val="left"/>
      </w:pPr>
      <w:r>
        <w:rPr>
          <w:u w:val="single"/>
        </w:rPr>
        <w:t xml:space="preserve">(11) "County median household income" means the median household income estimates by county for the county of the legal address of the principal place of residence, as published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2011 c 174 s 106 are each amended to read as follows:</w:t>
      </w:r>
    </w:p>
    <w:p>
      <w:pPr>
        <w:spacing w:before="0" w:after="0" w:line="408" w:lineRule="exact"/>
        <w:ind w:left="0" w:right="0" w:firstLine="576"/>
        <w:jc w:val="left"/>
      </w:pPr>
      <w:r>
        <w:rPr/>
        <w:t xml:space="preserve">(1) A claim for exemption under RCW 84.36.381 as now or hereafter amended, may be made and filed at any time during the year for exemption from taxes payable the following year and thereafter and solely upon forms as prescribed and furnished by the department of revenue. However, an exemption from tax under RCW 84.36.381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must inform the county assessor of any change in status affecting the person's entitlement to the exemption on forms prescribed and furnished by the department of revenue.</w:t>
      </w:r>
    </w:p>
    <w:p>
      <w:pPr>
        <w:spacing w:before="0" w:after="0" w:line="408" w:lineRule="exact"/>
        <w:ind w:left="0" w:right="0" w:firstLine="576"/>
        <w:jc w:val="left"/>
      </w:pPr>
      <w:r>
        <w:rPr/>
        <w:t xml:space="preserve">(3) Each person exempt from taxes under RCW 84.36.381 in 1993 and thereafter</w:t>
      </w:r>
      <w:r>
        <w:t>((</w:t>
      </w:r>
      <w:r>
        <w:rPr>
          <w:strike/>
        </w:rPr>
        <w:t xml:space="preserve">,</w:t>
      </w:r>
      <w:r>
        <w:t>))</w:t>
      </w:r>
      <w:r>
        <w:rPr/>
        <w:t xml:space="preserve"> must file with the county assessor a renewal application not later than December 31</w:t>
      </w:r>
      <w:r>
        <w:rPr>
          <w:u w:val="single"/>
        </w:rPr>
        <w:t xml:space="preserve">st</w:t>
      </w:r>
      <w:r>
        <w:rPr/>
        <w:t xml:space="preserve"> of the year the assessor notifies such person of the requirement to file the renewal application. Renewal applications must be on forms prescribed and furnished by the department of revenue.</w:t>
      </w:r>
    </w:p>
    <w:p>
      <w:pPr>
        <w:spacing w:before="0" w:after="0" w:line="408" w:lineRule="exact"/>
        <w:ind w:left="0" w:right="0" w:firstLine="576"/>
        <w:jc w:val="left"/>
      </w:pPr>
      <w:r>
        <w:rPr/>
        <w:t xml:space="preserve">(4) At least once every six years, the county assessor must notify those persons receiving an exemption from taxes under RCW 84.36.381 of the requirement to file a renewal application. The county assessor may also require a renewal application following an amendment of the income requirements set forth in RCW 84.36.381.</w:t>
      </w:r>
    </w:p>
    <w:p>
      <w:pPr>
        <w:spacing w:before="0" w:after="0" w:line="408" w:lineRule="exact"/>
        <w:ind w:left="0" w:right="0" w:firstLine="576"/>
        <w:jc w:val="left"/>
      </w:pPr>
      <w:r>
        <w:rPr/>
        <w:t xml:space="preserve">(5) If the assessor finds that the applicant does not meet the qualifications as set forth in RCW 84.36.381,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0" w:after="0" w:line="408" w:lineRule="exact"/>
        <w:ind w:left="0" w:right="0" w:firstLine="576"/>
        <w:jc w:val="left"/>
      </w:pPr>
      <w:r>
        <w:rPr>
          <w:u w:val="single"/>
        </w:rPr>
        <w:t xml:space="preserve">(7) The department must publish updated income thresholds by January 1, 2019, and January 1st of every fifth year thereafter. The department must adjust the income thresholds to reflect the most recent year of available county median household income estimates. The department may not adjust the income thresholds to reflect state median household income preliminary estimate projections. The adjusted thresholds must be rounded to the nearest one dollar. If the income threshold adjustment is negative, the income threshold for the current year continues to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020</w:t>
      </w:r>
      <w:r>
        <w:rPr/>
        <w:t xml:space="preserve"> and 2006 c 62 s 2 are each amended to read as follows:</w:t>
      </w:r>
    </w:p>
    <w:p>
      <w:pPr>
        <w:spacing w:before="0" w:after="0" w:line="408" w:lineRule="exact"/>
        <w:ind w:left="0" w:right="0" w:firstLine="576"/>
        <w:jc w:val="left"/>
      </w:pPr>
      <w:r>
        <w:t>((</w:t>
      </w:r>
      <w:r>
        <w:rPr>
          <w:strike/>
        </w:rPr>
        <w:t xml:space="preserve">Unless a different meaning is plainly required by the context, the following words and phrases as hereinafter used in this chapter shall have the following meanings:</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u w:val="single"/>
        </w:rPr>
        <w:t xml:space="preserve">(a)</w:t>
      </w:r>
      <w:r>
        <w:rPr/>
        <w:t xml:space="preserve"> "Claimant" means a person who either elects or is required under RCW 84.64.050 to defer payment of the special assessments and/or real property taxes accrued on the claimant's residence by filing a declaration to defer as provided by this chapter.</w:t>
      </w:r>
    </w:p>
    <w:p>
      <w:pPr>
        <w:spacing w:before="0" w:after="0" w:line="408" w:lineRule="exact"/>
        <w:ind w:left="0" w:right="0" w:firstLine="576"/>
        <w:jc w:val="left"/>
      </w:pPr>
      <w:r>
        <w:rPr>
          <w:u w:val="single"/>
        </w:rPr>
        <w:t xml:space="preserve">(b)</w:t>
      </w:r>
      <w:r>
        <w:rPr/>
        <w:t xml:space="preserve"> When two or more individuals of a household file or seek to file a declaration to defer, they may determine between them as to who </w:t>
      </w:r>
      <w:r>
        <w:rPr>
          <w:u w:val="single"/>
        </w:rPr>
        <w:t xml:space="preserve">is</w:t>
      </w:r>
      <w:r>
        <w:rPr/>
        <w:t xml:space="preserve"> the claimant </w:t>
      </w:r>
      <w:r>
        <w:t>((</w:t>
      </w:r>
      <w:r>
        <w:rPr>
          <w:strike/>
        </w:rPr>
        <w:t xml:space="preserve">shall be</w:t>
      </w:r>
      <w:r>
        <w:t>))</w:t>
      </w:r>
      <w:r>
        <w:rPr/>
        <w:t xml:space="preserve">.</w:t>
      </w:r>
    </w:p>
    <w:p>
      <w:pPr>
        <w:spacing w:before="0" w:after="0" w:line="408" w:lineRule="exact"/>
        <w:ind w:left="0" w:right="0" w:firstLine="576"/>
        <w:jc w:val="left"/>
      </w:pPr>
      <w:r>
        <w:rPr/>
        <w:t xml:space="preserve">(2) </w:t>
      </w:r>
      <w:r>
        <w:t>((</w:t>
      </w:r>
      <w:r>
        <w:rPr>
          <w:strike/>
        </w:rPr>
        <w:t xml:space="preserve">"Department" means the state department of revenue.</w:t>
      </w:r>
    </w:p>
    <w:p>
      <w:pPr>
        <w:spacing w:before="0" w:after="0" w:line="408" w:lineRule="exact"/>
        <w:ind w:left="0" w:right="0" w:firstLine="576"/>
        <w:jc w:val="left"/>
      </w:pPr>
      <w:r>
        <w:rPr>
          <w:strike/>
        </w:rPr>
        <w:t xml:space="preserve">(3)</w:t>
      </w:r>
      <w:r>
        <w:t>))</w:t>
      </w:r>
      <w:r>
        <w:rPr/>
        <w:t xml:space="preserve"> "Equity value" means the amount by which the fair market value of a residence as determined from the records of the county assessor exceeds the total amount of any liens or other obligations against the property.</w:t>
      </w:r>
    </w:p>
    <w:p>
      <w:pPr>
        <w:spacing w:before="0" w:after="0" w:line="408" w:lineRule="exact"/>
        <w:ind w:left="0" w:right="0" w:firstLine="576"/>
        <w:jc w:val="left"/>
      </w:pPr>
      <w:r>
        <w:rPr>
          <w:u w:val="single"/>
        </w:rPr>
        <w:t xml:space="preserve">(3) "Income threshold" means a combined disposable income equal to the greater of forty-five thousand dollars, or seventy-five percent of the county median household income, adjusted by January 1, 2019, and January 1st of every fifth year thereafter, as provided in RCW 84.36.385(7).</w:t>
      </w:r>
    </w:p>
    <w:p>
      <w:pPr>
        <w:spacing w:before="0" w:after="0" w:line="408" w:lineRule="exact"/>
        <w:ind w:left="0" w:right="0" w:firstLine="576"/>
        <w:jc w:val="left"/>
      </w:pPr>
      <w:r>
        <w:rPr/>
        <w:t xml:space="preserve">(4) "Local government" means any city, town, county, water-sewer district, public utility district, port district, irrigation district, flood control district, or any other municipal corporation, quasi-municipal corporation, or other political subdivision authorized to levy special assessments.</w:t>
      </w:r>
    </w:p>
    <w:p>
      <w:pPr>
        <w:spacing w:before="0" w:after="0" w:line="408" w:lineRule="exact"/>
        <w:ind w:left="0" w:right="0" w:firstLine="576"/>
        <w:jc w:val="left"/>
      </w:pPr>
      <w:r>
        <w:rPr/>
        <w:t xml:space="preserve">(5) "Real property taxes" means ad valorem property taxes levied on a residence in this state in the preceding calendar year.</w:t>
      </w:r>
    </w:p>
    <w:p>
      <w:pPr>
        <w:spacing w:before="0" w:after="0" w:line="408" w:lineRule="exact"/>
        <w:ind w:left="0" w:right="0" w:firstLine="576"/>
        <w:jc w:val="left"/>
      </w:pPr>
      <w:r>
        <w:rPr/>
        <w:t xml:space="preserve">(6) "Residence" has the meaning given in RCW 84.36.383.</w:t>
      </w:r>
    </w:p>
    <w:p>
      <w:pPr>
        <w:spacing w:before="0" w:after="0" w:line="408" w:lineRule="exact"/>
        <w:ind w:left="0" w:right="0" w:firstLine="576"/>
        <w:jc w:val="left"/>
      </w:pPr>
      <w:r>
        <w:rPr/>
        <w:t xml:space="preserve">(7) "Special assessment" means the charge or obligation imposed by a local government upon property specially benefited.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030</w:t>
      </w:r>
      <w:r>
        <w:rPr/>
        <w:t xml:space="preserve"> and 2015 3rd sp.s. c 30 s 3 and 2015 c 86 s 313 are each reenacted and amended to read as follows:</w:t>
      </w:r>
    </w:p>
    <w:p>
      <w:pPr>
        <w:spacing w:before="0" w:after="0" w:line="408" w:lineRule="exact"/>
        <w:ind w:left="0" w:right="0" w:firstLine="576"/>
        <w:jc w:val="left"/>
      </w:pPr>
      <w:r>
        <w:rPr/>
        <w:t xml:space="preserve">A claimant may defer payment of special assessments and/or real property taxes on up to eighty percent of the amount of the claimant's equity value in the claimant's residence if the following conditions are met:</w:t>
      </w:r>
    </w:p>
    <w:p>
      <w:pPr>
        <w:spacing w:before="0" w:after="0" w:line="408" w:lineRule="exact"/>
        <w:ind w:left="0" w:right="0" w:firstLine="576"/>
        <w:jc w:val="left"/>
      </w:pPr>
      <w:r>
        <w:rPr/>
        <w:t xml:space="preserve">(1) The claimant must meet all requirements for an exemption for the residence under RCW 84.36.381, other than the age and income limits under RCW 84.36.381.</w:t>
      </w:r>
    </w:p>
    <w:p>
      <w:pPr>
        <w:spacing w:before="0" w:after="0" w:line="408" w:lineRule="exact"/>
        <w:ind w:left="0" w:right="0" w:firstLine="576"/>
        <w:jc w:val="left"/>
      </w:pPr>
      <w:r>
        <w:rPr/>
        <w:t xml:space="preserve">(2) The claimant must be sixty years of age or older on December 31st of the year in which the deferral claim is filed, or must have been, at the time of filing, retired from regular gainful employment by reason of disability as defined in RCW 84.36.383. However, any surviving spouse or surviving domestic partner of a person who was receiving a deferral at the time of the person's death qualifies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(3) The claimant must have a combined disposable income, as defined in RCW 84.36.383, </w:t>
      </w:r>
      <w:r>
        <w:t>((</w:t>
      </w:r>
      <w:r>
        <w:rPr>
          <w:strike/>
        </w:rPr>
        <w:t xml:space="preserve">of forty-five thousand dollars or less</w:t>
      </w:r>
      <w:r>
        <w:t>))</w:t>
      </w:r>
      <w:r>
        <w:rPr/>
        <w:t xml:space="preserve"> </w:t>
      </w:r>
      <w:r>
        <w:rPr>
          <w:u w:val="single"/>
        </w:rPr>
        <w:t xml:space="preserve">equal to or less than the income threshold</w:t>
      </w:r>
      <w:r>
        <w:rPr/>
        <w:t xml:space="preserve">.</w:t>
      </w:r>
    </w:p>
    <w:p>
      <w:pPr>
        <w:spacing w:before="0" w:after="0" w:line="408" w:lineRule="exact"/>
        <w:ind w:left="0" w:right="0" w:firstLine="576"/>
        <w:jc w:val="left"/>
      </w:pPr>
      <w:r>
        <w:rPr/>
        <w:t xml:space="preserve">(4) The claimant must have owned, at the time of filing, the residence on which the special assessment and/or real property taxes have been imposed. For purposes of this subsection, a residence owned by a marital community, owned by domestic partners, or owned by cotenants is deemed to be owned by each spouse, each domestic partner, or each cotenant. A claimant who has only a share ownership in cooperative housing, a life estate, a lease for life, or a revocable trust does not satisfy the ownership requirement.</w:t>
      </w:r>
    </w:p>
    <w:p>
      <w:pPr>
        <w:spacing w:before="0" w:after="0" w:line="408" w:lineRule="exact"/>
        <w:ind w:left="0" w:right="0" w:firstLine="576"/>
        <w:jc w:val="left"/>
      </w:pPr>
      <w:r>
        <w:rPr/>
        <w:t xml:space="preserve">(5) The claimant must have and keep in force fire and casualty insurance in sufficient amount to protect the interest of the state in the claimant's equity value. However, if the claimant fails to keep fire and casualty insurance in force to the extent of the state's interest in the claimant's equity value, the amount deferred may not exceed one hundred percent of the claimant's equity value in the land or lot only.</w:t>
      </w:r>
    </w:p>
    <w:p>
      <w:pPr>
        <w:spacing w:before="0" w:after="0" w:line="408" w:lineRule="exact"/>
        <w:ind w:left="0" w:right="0" w:firstLine="576"/>
        <w:jc w:val="left"/>
      </w:pPr>
      <w:r>
        <w:rPr/>
        <w:t xml:space="preserve">(6) In the case of special assessment deferral, the claimant must have opted for payment of such special assessments on the installment method if such method was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2019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not subject to the requirements provided in RCW 82.32.805 and 82.32.808. This act is not subject to an expiration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for section 3 of this act, this act takes effect July 1, 2019.</w:t>
      </w:r>
    </w:p>
    <w:p>
      <w:pPr>
        <w:spacing w:before="0" w:after="0" w:line="408" w:lineRule="exact"/>
        <w:ind w:left="0" w:right="0" w:firstLine="576"/>
        <w:jc w:val="left"/>
      </w:pPr>
      <w:r>
        <w:rPr/>
        <w:t xml:space="preserve">(2) Section 3 of this act takes effect January 1, 2017.</w:t>
      </w:r>
    </w:p>
    <w:p/>
    <w:p>
      <w:pPr>
        <w:jc w:val="center"/>
      </w:pPr>
      <w:r>
        <w:rPr>
          <w:b/>
        </w:rPr>
        <w:t>--- END ---</w:t>
      </w:r>
    </w:p>
    <w:sectPr>
      <w:pgNumType w:start="1"/>
      <w:footerReference xmlns:r="http://schemas.openxmlformats.org/officeDocument/2006/relationships" r:id="R66c7642eb86648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80deff0c514193" /><Relationship Type="http://schemas.openxmlformats.org/officeDocument/2006/relationships/footer" Target="/word/footer.xml" Id="R66c7642eb866487e" /></Relationships>
</file>