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64bc57c9b54988" /></Relationships>
</file>

<file path=word/document.xml><?xml version="1.0" encoding="utf-8"?>
<w:document xmlns:w="http://schemas.openxmlformats.org/wordprocessingml/2006/main">
  <w:body>
    <w:p>
      <w:r>
        <w:t>H-4155.1</w:t>
      </w:r>
    </w:p>
    <w:p>
      <w:pPr>
        <w:jc w:val="center"/>
      </w:pPr>
      <w:r>
        <w:t>_______________________________________________</w:t>
      </w:r>
    </w:p>
    <w:p/>
    <w:p>
      <w:pPr>
        <w:jc w:val="center"/>
      </w:pPr>
      <w:r>
        <w:rPr>
          <w:b/>
        </w:rPr>
        <w:t>SUBSTITUTE HOUSE BILL 2746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Walkinshaw, Walsh, Kagi, Senn, Frame, Kilduff, Sawyer, McBride, Goodman, Ormsby, and Tarleton)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mental health and chemical dependency treatment for juvenile offenders; amending RCW 13.40.020, 13.40.0357, and 13.40.165; and repealing RCW 13.40.167.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2014 c 110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w:t>
      </w:r>
      <w:r>
        <w:rPr>
          <w:u w:val="single"/>
        </w:rPr>
        <w:t xml:space="preserve">evaluations</w:t>
      </w:r>
      <w:r>
        <w:rPr/>
        <w:t xml:space="preserve">,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u w:val="single"/>
        </w:rPr>
        <w:t xml:space="preserve">(e) Residential treatment, where substance abuse, mental health, and/or co-occurring disorders have been identified in an assessment by a qualified mental health professional, psychologist, psychiatrist, or chemical dependency professional.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u w:val="single"/>
        </w:rPr>
        <w:t xml:space="preserve">(i) A court may order residential treatment after consideration and findings regarding whether:</w:t>
      </w:r>
    </w:p>
    <w:p>
      <w:pPr>
        <w:spacing w:before="0" w:after="0" w:line="408" w:lineRule="exact"/>
        <w:ind w:left="0" w:right="0" w:firstLine="576"/>
        <w:jc w:val="left"/>
      </w:pPr>
      <w:r>
        <w:rPr>
          <w:u w:val="single"/>
        </w:rPr>
        <w:t xml:space="preserve">(A) The referral is necessary to rehabilitate the child;</w:t>
      </w:r>
    </w:p>
    <w:p>
      <w:pPr>
        <w:spacing w:before="0" w:after="0" w:line="408" w:lineRule="exact"/>
        <w:ind w:left="0" w:right="0" w:firstLine="576"/>
        <w:jc w:val="left"/>
      </w:pPr>
      <w:r>
        <w:rPr>
          <w:u w:val="single"/>
        </w:rPr>
        <w:t xml:space="preserve">(B) The referral is necessary to protect the public or the child;</w:t>
      </w:r>
    </w:p>
    <w:p>
      <w:pPr>
        <w:spacing w:before="0" w:after="0" w:line="408" w:lineRule="exact"/>
        <w:ind w:left="0" w:right="0" w:firstLine="576"/>
        <w:jc w:val="left"/>
      </w:pPr>
      <w:r>
        <w:rPr>
          <w:u w:val="single"/>
        </w:rPr>
        <w:t xml:space="preserve">(C) The referral is in the child's best interest;</w:t>
      </w:r>
    </w:p>
    <w:p>
      <w:pPr>
        <w:spacing w:before="0" w:after="0" w:line="408" w:lineRule="exact"/>
        <w:ind w:left="0" w:right="0" w:firstLine="576"/>
        <w:jc w:val="left"/>
      </w:pPr>
      <w:r>
        <w:rPr>
          <w:u w:val="single"/>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u w:val="single"/>
        </w:rPr>
        <w:t xml:space="preserve">(E) Inpatient treatment is the least restrictive action consistent with the child's needs and circumstances.</w:t>
      </w:r>
    </w:p>
    <w:p>
      <w:pPr>
        <w:spacing w:before="0" w:after="0" w:line="408" w:lineRule="exact"/>
        <w:ind w:left="0" w:right="0" w:firstLine="576"/>
        <w:jc w:val="left"/>
      </w:pPr>
      <w:r>
        <w:rPr>
          <w:u w:val="single"/>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social and health services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 of social and health services. "Assistant secretary" means the assistant secretary for juvenile rehabilitation for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2013 c 20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w:t>
            </w:r>
            <w:r>
              <w:t>((</w:t>
            </w:r>
            <w:r>
              <w:rPr>
                <w:rFonts w:ascii="Times New Roman" w:hAnsi="Times New Roman"/>
                <w:strike/>
                <w:sz w:val="20"/>
              </w:rPr>
              <w:t xml:space="preserve">(iii)</w:t>
            </w:r>
            <w:r>
              <w:t>))</w:t>
            </w:r>
            <w:r>
              <w:rPr>
                <w:rFonts w:ascii="Times New Roman" w:hAnsi="Times New Roman"/>
                <w:sz w:val="20"/>
              </w:rPr>
              <w:t xml:space="preserve"> </w:t>
            </w:r>
            <w:r>
              <w:rPr>
                <w:rFonts w:ascii="Times New Roman" w:hAnsi="Times New Roman"/>
                <w:sz w:val="20"/>
                <w:u w:val="single"/>
              </w:rPr>
              <w:t xml:space="preserve">(iv)</w:t>
            </w:r>
            <w:r>
              <w:rPr>
                <w:rFonts w:ascii="Times New Roman" w:hAnsi="Times New Roman"/>
                <w:sz w:val="20"/>
              </w:rPr>
              <w:t xml:space="preserv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 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- 4 weeks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w:t>
      </w:r>
      <w:r>
        <w:rPr>
          <w:u w:val="single"/>
        </w:rPr>
        <w:t xml:space="preserve">or</w:t>
      </w:r>
      <w:r>
        <w:rPr/>
        <w:t xml:space="preserve"> D</w:t>
      </w:r>
      <w:r>
        <w:t>((</w:t>
      </w:r>
      <w:r>
        <w:rPr>
          <w:strike/>
        </w:rPr>
        <w:t xml:space="preserve">, or RCW 13.40.167</w:t>
      </w:r>
      <w:r>
        <w:t>))</w:t>
      </w:r>
      <w:r>
        <w:rPr/>
        <w:t xml:space="preserve">.</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rPr>
                <w:rFonts w:ascii="Times New Roman" w:hAnsi="Times New Roman"/>
                <w:sz w:val="16"/>
              </w:rPr>
              <w:t xml:space="preserve">Except 30-40 weeks</w:t>
            </w:r>
          </w:p>
          <w:p>
            <w:pPr>
              <w:spacing w:before="0" w:after="0" w:line="408" w:lineRule="exact"/>
              <w:ind w:left="0" w:right="0" w:firstLine="0"/>
              <w:jc w:val="center"/>
            </w:pPr>
            <w:r>
              <w:rPr>
                <w:rFonts w:ascii="Times New Roman" w:hAnsi="Times New Roman"/>
                <w:sz w:val="16"/>
              </w:rPr>
              <w:t xml:space="preserve">for 15 to 17 year olds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is:</w:t>
      </w:r>
    </w:p>
    <w:p>
      <w:pPr>
        <w:spacing w:before="0" w:after="0" w:line="408" w:lineRule="exact"/>
        <w:ind w:left="0" w:right="0" w:firstLine="576"/>
        <w:jc w:val="left"/>
      </w:pPr>
      <w:r>
        <w:rPr/>
        <w:t xml:space="preserve">(a) Adjudicated of an A+ offense;</w:t>
      </w:r>
    </w:p>
    <w:p>
      <w:pPr>
        <w:spacing w:before="0" w:after="0" w:line="408" w:lineRule="exact"/>
        <w:ind w:left="0" w:right="0" w:firstLine="576"/>
        <w:jc w:val="left"/>
      </w:pPr>
      <w:r>
        <w:rPr/>
        <w:t xml:space="preserve">(b)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or</w:t>
      </w:r>
    </w:p>
    <w:p>
      <w:pPr>
        <w:spacing w:before="0" w:after="0" w:line="408" w:lineRule="exact"/>
        <w:ind w:left="0" w:right="0" w:firstLine="576"/>
        <w:jc w:val="left"/>
      </w:pPr>
      <w:r>
        <w:rPr/>
        <w:t xml:space="preserve">(iii) Assault in the second degree (RCW 9A.36.021), extortion in the first degree (RCW 9A.56.120), kidnapping in the second degree (RCW 9A.40.030), robbery in the second degree (RCW 9A.56.210), residential burglary (RCW 9A.52.025), burglary in the second degree (RCW 9A.52.030), drive-by shooting (RCW 9A.36.045), vehicular homicide (RCW 46.61.520), hit and run death (RCW 46.52.020(4)(a)), intimidating a witness (RCW 9A.72.110), violation of the uniform controlled substances act (RCW 69.50.401 (2)(a) and (b)), or manslaughter 2 (RCW 9A.32.070),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Ordered to serve a disposition for a firearm violation under RCW 13.40.193; or</w:t>
      </w:r>
    </w:p>
    <w:p>
      <w:pPr>
        <w:spacing w:before="0" w:after="0" w:line="408" w:lineRule="exact"/>
        <w:ind w:left="0" w:right="0" w:firstLine="576"/>
        <w:jc w:val="left"/>
      </w:pPr>
      <w:r>
        <w:rPr/>
        <w:t xml:space="preserve">(d) Adjudicated of a sex offense as defined in RCW 9.94A.030.</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w:t>
      </w:r>
      <w:r>
        <w:rPr>
          <w:b/>
          <w:u w:val="single"/>
        </w:rPr>
        <w:t xml:space="preserve">/MENTAL HEALTH</w:t>
      </w:r>
      <w:r>
        <w:rPr>
          <w:b/>
        </w:rPr>
        <w:t xml:space="preserve">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an A- or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2004 c 120 s 5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70.96A.520. </w:t>
      </w:r>
      <w:r>
        <w:rPr>
          <w:u w:val="single"/>
        </w:rPr>
        <w:t xml:space="preserve">It is also the purpose of the disposition alternative to assure that minors in need of chemical dependency,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u w:val="single"/>
        </w:rPr>
        <w:t xml:space="preserve">(2)</w:t>
      </w:r>
      <w:r>
        <w:rPr/>
        <w:t xml:space="preserve"> The court must consider eligibility for the chemical dependency </w:t>
      </w:r>
      <w:r>
        <w:rPr>
          <w:u w:val="single"/>
        </w:rPr>
        <w:t xml:space="preserve">or mental health</w:t>
      </w:r>
      <w:r>
        <w:rPr/>
        <w:t xml:space="preserve"> disposition alternative when a juvenile offender is subject to a standard range disposition of local sanctions or 15 to 36 weeks of confinement and has not committed an A- or B+ offense, other than a first time B+ offense under chapter 69.50 RCW. The court, on its own motion or the motion of the state or the respondent if the evidence shows that the offender may be chemically dependent </w:t>
      </w:r>
      <w:r>
        <w:t>((</w:t>
      </w:r>
      <w:r>
        <w:rPr>
          <w:strike/>
        </w:rPr>
        <w:t xml:space="preserve">or</w:t>
      </w:r>
      <w:r>
        <w:t>))</w:t>
      </w:r>
      <w:r>
        <w:rPr>
          <w:u w:val="single"/>
        </w:rPr>
        <w:t xml:space="preserve">,</w:t>
      </w:r>
      <w:r>
        <w:rPr/>
        <w:t xml:space="preserve"> substance abusing, </w:t>
      </w:r>
      <w:r>
        <w:rPr>
          <w:u w:val="single"/>
        </w:rPr>
        <w:t xml:space="preserve">or has significant mental health or co-occurring disorders</w:t>
      </w:r>
      <w:r>
        <w:rPr/>
        <w:t xml:space="preserve"> may order an examination by a chemical dependency counselor from a chemical dependency treatment facility approved under chapter 70.96A RCW </w:t>
      </w:r>
      <w:r>
        <w:rPr>
          <w:u w:val="single"/>
        </w:rPr>
        <w:t xml:space="preserve">or a mental health professional as defined in chapter 71.34 RCW</w:t>
      </w:r>
      <w:r>
        <w:rPr/>
        <w:t xml:space="preserve"> to determine if the youth is chemically dependent </w:t>
      </w:r>
      <w:r>
        <w:t>((</w:t>
      </w:r>
      <w:r>
        <w:rPr>
          <w:strike/>
        </w:rPr>
        <w:t xml:space="preserve">or</w:t>
      </w:r>
      <w:r>
        <w:t>))</w:t>
      </w:r>
      <w:r>
        <w:rPr>
          <w:u w:val="single"/>
        </w:rPr>
        <w:t xml:space="preserve">,</w:t>
      </w:r>
      <w:r>
        <w:rPr/>
        <w:t xml:space="preserve"> substance abusing</w:t>
      </w:r>
      <w:r>
        <w:rPr>
          <w:u w:val="single"/>
        </w:rPr>
        <w:t xml:space="preserve">, or suffers from significant mental health or co-occurring disorders</w:t>
      </w:r>
      <w:r>
        <w:rPr/>
        <w:t xml:space="preserve">. The offender shall pay the cost of any examination ordered under this subsection unless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report of the examination shall include at a minimum the following: The respondent's version of the facts and the official version of the facts, the respondent's offense history, an assessment of drug-alcohol problems </w:t>
      </w:r>
      <w:r>
        <w:t>((</w:t>
      </w:r>
      <w:r>
        <w:rPr>
          <w:strike/>
        </w:rPr>
        <w:t xml:space="preserve">and</w:t>
      </w:r>
      <w:r>
        <w:t>))</w:t>
      </w:r>
      <w:r>
        <w:rPr>
          <w:u w:val="single"/>
        </w:rPr>
        <w:t xml:space="preserve">, mental health diagnoses,</w:t>
      </w:r>
      <w:r>
        <w:rPr/>
        <w:t xml:space="preserve">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and the court finds that the offender is indigent and no third party insurance coverage is available, in which case the state shall pay the cost.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After receipt of reports of the examination, the court shall then consider whether the offender and the community will benefit from use of this </w:t>
      </w:r>
      <w:r>
        <w:t>((</w:t>
      </w:r>
      <w:r>
        <w:rPr>
          <w:strike/>
        </w:rPr>
        <w:t xml:space="preserve">chemical dependency</w:t>
      </w:r>
      <w:r>
        <w:t>))</w:t>
      </w:r>
      <w:r>
        <w:rPr/>
        <w:t xml:space="preserve">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w:t>
      </w:r>
      <w:r>
        <w:t>((</w:t>
      </w:r>
      <w:r>
        <w:rPr>
          <w:strike/>
        </w:rPr>
        <w:t xml:space="preserve">chemical dependency</w:t>
      </w:r>
      <w:r>
        <w:t>))</w:t>
      </w:r>
      <w:r>
        <w:rPr/>
        <w:t xml:space="preserve">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fifty-two weeks, suspend execution of the disposition, and place the offender on community supervision for up to one year. As a condition of the suspended disposition, the court shall require the offender to undergo available outpatient drug/alcohol</w:t>
      </w:r>
      <w:r>
        <w:rPr>
          <w:u w:val="single"/>
        </w:rPr>
        <w:t xml:space="preserve">, mental health, or co-occurring disorder</w:t>
      </w:r>
      <w:r>
        <w:rPr/>
        <w:t xml:space="preserve"> treatment and/or inpatient </w:t>
      </w:r>
      <w:r>
        <w:rPr>
          <w:u w:val="single"/>
        </w:rPr>
        <w:t xml:space="preserve">mental health or</w:t>
      </w:r>
      <w:r>
        <w:rPr/>
        <w:t xml:space="preserve"> drug/alcohol treatment. </w:t>
      </w:r>
      <w:r>
        <w:t>((</w:t>
      </w:r>
      <w:r>
        <w:rPr>
          <w:strike/>
        </w:rPr>
        <w:t xml:space="preserve">For purposes of this section,</w:t>
      </w:r>
      <w:r>
        <w:t>))</w:t>
      </w:r>
      <w:r>
        <w:rPr/>
        <w:t xml:space="preserve"> </w:t>
      </w:r>
      <w:r>
        <w:rPr>
          <w:u w:val="single"/>
        </w:rPr>
        <w:t xml:space="preserve">If the</w:t>
      </w:r>
      <w:r>
        <w:rPr/>
        <w:t xml:space="preserve"> inpatient treatment </w:t>
      </w:r>
      <w:r>
        <w:t>((</w:t>
      </w:r>
      <w:r>
        <w:rPr>
          <w:strike/>
        </w:rPr>
        <w:t xml:space="preserve">may not exceed</w:t>
      </w:r>
      <w:r>
        <w:t>))</w:t>
      </w:r>
      <w:r>
        <w:rPr/>
        <w:t xml:space="preserve"> </w:t>
      </w:r>
      <w:r>
        <w:rPr>
          <w:u w:val="single"/>
        </w:rPr>
        <w:t xml:space="preserve">is longer than</w:t>
      </w:r>
      <w:r>
        <w:rPr/>
        <w:t xml:space="preserve"> ninety days</w:t>
      </w:r>
      <w:r>
        <w:rPr>
          <w:u w:val="single"/>
        </w:rPr>
        <w:t xml:space="preserve">, the court shall hold a review hearing every thirty days beyond the initial ninety days. The respondent may appear telephonically at these review hearings if in compliance with treatment</w:t>
      </w:r>
      <w:r>
        <w:rPr/>
        <w:t xml:space="preserve">. As a condition of the suspended disposition, the court may impose conditions of community supervision and other sanctions, including up to thirty days of confinement, one hundred fifty hours of community restitution, and payment of legal financial obligations and restitution.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w:t>
      </w:r>
      <w:r>
        <w:rPr>
          <w:u w:val="single"/>
        </w:rPr>
        <w:t xml:space="preserve">mental health/co-occurring disorder/</w:t>
      </w:r>
      <w:r>
        <w:rPr/>
        <w:t xml:space="preserve">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no case shall the term of confinement imposed by the court at disposition exceed that to which an adult could be subjected for the same offense.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 disposition under this section is not appealable under RCW 13.40.230.</w:t>
      </w:r>
    </w:p>
    <w:p>
      <w:pPr>
        <w:spacing w:before="0" w:after="0" w:line="408" w:lineRule="exact"/>
        <w:ind w:left="0" w:right="0" w:firstLine="576"/>
        <w:jc w:val="left"/>
      </w:pPr>
      <w:r>
        <w:rPr>
          <w:u w:val="single"/>
        </w:rPr>
        <w:t xml:space="preserve">(12) Subject to funds appropriated for this specific purpose, the costs incurred by the juvenile courts for the mental health, chemical dependency, and/or co-occurring disorder evaluations, treatment, and costs of supervision required under this section shall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167</w:t>
      </w:r>
      <w:r>
        <w:rPr/>
        <w:t xml:space="preserve"> (Mental health disposition alternative) and 2005 c 508 s 1 &amp; 2003 c 378 s 4 are each repealed.</w:t>
      </w:r>
    </w:p>
    <w:p/>
    <w:p>
      <w:pPr>
        <w:jc w:val="center"/>
      </w:pPr>
      <w:r>
        <w:rPr>
          <w:b/>
        </w:rPr>
        <w:t>--- END ---</w:t>
      </w:r>
    </w:p>
    <w:sectPr>
      <w:pgNumType w:start="1"/>
      <w:footerReference xmlns:r="http://schemas.openxmlformats.org/officeDocument/2006/relationships" r:id="R9410549b64fc45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088d4b8e194fcf" /><Relationship Type="http://schemas.openxmlformats.org/officeDocument/2006/relationships/footer" Target="/word/footer.xml" Id="R9410549b64fc4533" /></Relationships>
</file>