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8e679c10bc4800" /></Relationships>
</file>

<file path=word/document.xml><?xml version="1.0" encoding="utf-8"?>
<w:document xmlns:w="http://schemas.openxmlformats.org/wordprocessingml/2006/main">
  <w:body>
    <w:p>
      <w:r>
        <w:t>H-4215.1</w:t>
      </w:r>
    </w:p>
    <w:p>
      <w:pPr>
        <w:jc w:val="center"/>
      </w:pPr>
      <w:r>
        <w:t>_______________________________________________</w:t>
      </w:r>
    </w:p>
    <w:p/>
    <w:p>
      <w:pPr>
        <w:jc w:val="center"/>
      </w:pPr>
      <w:r>
        <w:rPr>
          <w:b/>
        </w:rPr>
        <w:t>SUBSTITUTE HOUSE BILL 2730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Peterson, Walkinshaw, Ortiz-Self, Bergquist, Kagi, Gregerson, Kilduff, Frame, and Pollet)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monitoring program; and reenacting and amending RCW 70.225.040.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2015 c 259 s 1 and 2015 c 49 s 1 are each reenacted and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w:t>
      </w:r>
      <w:r>
        <w:rPr>
          <w:u w:val="single"/>
        </w:rPr>
        <w:t xml:space="preserve">or legend drugs</w:t>
      </w:r>
      <w:r>
        <w:rPr/>
        <w:t xml:space="preserve">,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w:t>
      </w:r>
    </w:p>
    <w:p>
      <w:pPr>
        <w:spacing w:before="0" w:after="0" w:line="408" w:lineRule="exact"/>
        <w:ind w:left="0" w:right="0" w:firstLine="576"/>
        <w:jc w:val="left"/>
      </w:pPr>
      <w:r>
        <w:rPr/>
        <w:t xml:space="preserve">(i) Personnel of the department for purposes of administration and enforcement of this chapter or chapter 69.50 RCW; </w:t>
      </w:r>
      <w:r>
        <w:t>((</w:t>
      </w:r>
      <w:r>
        <w:rPr>
          <w:strike/>
        </w:rPr>
        <w:t xml:space="preserve">and</w:t>
      </w:r>
      <w:r>
        <w:t>))</w:t>
      </w:r>
    </w:p>
    <w:p>
      <w:pPr>
        <w:spacing w:before="0" w:after="0" w:line="408" w:lineRule="exact"/>
        <w:ind w:left="0" w:right="0" w:firstLine="576"/>
        <w:jc w:val="left"/>
      </w:pPr>
      <w:r>
        <w:rPr/>
        <w:t xml:space="preserve">(j)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r>
        <w:rPr>
          <w:u w:val="single"/>
        </w:rPr>
        <w:t xml:space="preserve">;</w:t>
      </w:r>
    </w:p>
    <w:p>
      <w:pPr>
        <w:spacing w:before="0" w:after="0" w:line="408" w:lineRule="exact"/>
        <w:ind w:left="0" w:right="0" w:firstLine="576"/>
        <w:jc w:val="left"/>
      </w:pPr>
      <w:r>
        <w:rPr>
          <w:u w:val="single"/>
        </w:rPr>
        <w:t xml:space="preserve">(k) A health care facility or entity for the purpose of providing medical or pharmaceutical care to the patients of the facility or entity, if:</w:t>
      </w:r>
    </w:p>
    <w:p>
      <w:pPr>
        <w:spacing w:before="0" w:after="0" w:line="408" w:lineRule="exact"/>
        <w:ind w:left="0" w:right="0" w:firstLine="576"/>
        <w:jc w:val="left"/>
      </w:pPr>
      <w:r>
        <w:rPr>
          <w:u w:val="single"/>
        </w:rPr>
        <w:t xml:space="preserve">(i) The facility or entity is licensed by the department; and</w:t>
      </w:r>
    </w:p>
    <w:p>
      <w:pPr>
        <w:spacing w:before="0" w:after="0" w:line="408" w:lineRule="exact"/>
        <w:ind w:left="0" w:right="0" w:firstLine="576"/>
        <w:jc w:val="left"/>
      </w:pPr>
      <w:r>
        <w:rPr>
          <w:u w:val="single"/>
        </w:rPr>
        <w:t xml:space="preserve">(ii) The facility or entity is a trading partner with the state's health information exchange; and</w:t>
      </w:r>
    </w:p>
    <w:p>
      <w:pPr>
        <w:spacing w:before="0" w:after="0" w:line="408" w:lineRule="exact"/>
        <w:ind w:left="0" w:right="0" w:firstLine="576"/>
        <w:jc w:val="left"/>
      </w:pPr>
      <w:r>
        <w:rPr>
          <w:u w:val="single"/>
        </w:rPr>
        <w:t xml:space="preserve">(l) A health care provider group of five or more providers for purposes of providing medical or pharmaceutical care to the patients of the provider group if:</w:t>
      </w:r>
    </w:p>
    <w:p>
      <w:pPr>
        <w:spacing w:before="0" w:after="0" w:line="408" w:lineRule="exact"/>
        <w:ind w:left="0" w:right="0" w:firstLine="576"/>
        <w:jc w:val="left"/>
      </w:pPr>
      <w:r>
        <w:rPr>
          <w:u w:val="single"/>
        </w:rPr>
        <w:t xml:space="preserve">(i) All the providers in the provider group are licensed by the department; and</w:t>
      </w:r>
    </w:p>
    <w:p>
      <w:pPr>
        <w:spacing w:before="0" w:after="0" w:line="408" w:lineRule="exact"/>
        <w:ind w:left="0" w:right="0" w:firstLine="576"/>
        <w:jc w:val="left"/>
      </w:pPr>
      <w:r>
        <w:rPr>
          <w:u w:val="single"/>
        </w:rPr>
        <w:t xml:space="preserve">(ii) The provider group is a trading partner with the state's health information exchange</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
      <w:pPr>
        <w:jc w:val="center"/>
      </w:pPr>
      <w:r>
        <w:rPr>
          <w:b/>
        </w:rPr>
        <w:t>--- END ---</w:t>
      </w:r>
    </w:p>
    <w:sectPr>
      <w:pgNumType w:start="1"/>
      <w:footerReference xmlns:r="http://schemas.openxmlformats.org/officeDocument/2006/relationships" r:id="Rf2c2ac23c4634e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fc4f33c65741be" /><Relationship Type="http://schemas.openxmlformats.org/officeDocument/2006/relationships/footer" Target="/word/footer.xml" Id="Rf2c2ac23c4634e14" /></Relationships>
</file>