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704eeb23044f8" /></Relationships>
</file>

<file path=word/document.xml><?xml version="1.0" encoding="utf-8"?>
<w:document xmlns:w="http://schemas.openxmlformats.org/wordprocessingml/2006/main">
  <w:body>
    <w:p>
      <w:r>
        <w:t>H-4277.1</w:t>
      </w:r>
    </w:p>
    <w:p>
      <w:pPr>
        <w:jc w:val="center"/>
      </w:pPr>
      <w:r>
        <w:t>_______________________________________________</w:t>
      </w:r>
    </w:p>
    <w:p/>
    <w:p>
      <w:pPr>
        <w:jc w:val="center"/>
      </w:pPr>
      <w:r>
        <w:rPr>
          <w:b/>
        </w:rPr>
        <w:t>SUBSTITUTE HOUSE BILL 2674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Jinkins, Rodne, Kilduff, Reykdal, and 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fee surcharges for funding dispute resolution centers; and amending RCW 7.75.035.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75</w:t>
      </w:r>
      <w:r>
        <w:rPr/>
        <w:t xml:space="preserve">.</w:t>
      </w:r>
      <w:r>
        <w:t xml:space="preserve">035</w:t>
      </w:r>
      <w:r>
        <w:rPr/>
        <w:t xml:space="preserve"> and 1990 c 172 s 1 are each amended to read as follows:</w:t>
      </w:r>
    </w:p>
    <w:p>
      <w:pPr>
        <w:spacing w:before="0" w:after="0" w:line="408" w:lineRule="exact"/>
        <w:ind w:left="0" w:right="0" w:firstLine="576"/>
        <w:jc w:val="left"/>
      </w:pPr>
      <w:r>
        <w:rPr/>
        <w:t xml:space="preserve">(1) A county legislative authority may impose a surcharge of up to </w:t>
      </w:r>
      <w:r>
        <w:t>((</w:t>
      </w:r>
      <w:r>
        <w:rPr>
          <w:strike/>
        </w:rPr>
        <w:t xml:space="preserve">ten</w:t>
      </w:r>
      <w:r>
        <w:t>))</w:t>
      </w:r>
      <w:r>
        <w:rPr/>
        <w:t xml:space="preserve"> </w:t>
      </w:r>
      <w:r>
        <w:rPr>
          <w:u w:val="single"/>
        </w:rPr>
        <w:t xml:space="preserve">twenty</w:t>
      </w:r>
      <w:r>
        <w:rPr/>
        <w:t xml:space="preserve"> dollars on each civil filing fee in district court </w:t>
      </w:r>
      <w:r>
        <w:t>((</w:t>
      </w:r>
      <w:r>
        <w:rPr>
          <w:strike/>
        </w:rPr>
        <w:t xml:space="preserve">and</w:t>
      </w:r>
      <w:r>
        <w:t>))</w:t>
      </w:r>
      <w:r>
        <w:rPr>
          <w:u w:val="single"/>
        </w:rPr>
        <w:t xml:space="preserve">,</w:t>
      </w:r>
      <w:r>
        <w:rPr/>
        <w:t xml:space="preserve"> a surcharge of up to </w:t>
      </w:r>
      <w:r>
        <w:t>((</w:t>
      </w:r>
      <w:r>
        <w:rPr>
          <w:strike/>
        </w:rPr>
        <w:t xml:space="preserve">fifteen</w:t>
      </w:r>
      <w:r>
        <w:t>))</w:t>
      </w:r>
      <w:r>
        <w:rPr/>
        <w:t xml:space="preserve"> </w:t>
      </w:r>
      <w:r>
        <w:rPr>
          <w:u w:val="single"/>
        </w:rPr>
        <w:t xml:space="preserve">twenty</w:t>
      </w:r>
      <w:r>
        <w:rPr/>
        <w:t xml:space="preserve"> dollars on each filing fee for small claims actions</w:t>
      </w:r>
      <w:r>
        <w:rPr>
          <w:u w:val="single"/>
        </w:rPr>
        <w:t xml:space="preserve">, and a surcharge of up to twenty dollars on each civil filing fee in superior court</w:t>
      </w:r>
      <w:r>
        <w:rPr/>
        <w:t xml:space="preserve"> for the purpose of funding dispute resolution centers established under this chapter. </w:t>
      </w:r>
      <w:r>
        <w:rPr>
          <w:u w:val="single"/>
        </w:rPr>
        <w:t xml:space="preserve">No surcharge may be imposed on actions or proceedings exempt from a filing fee.</w:t>
      </w:r>
    </w:p>
    <w:p>
      <w:pPr>
        <w:spacing w:before="0" w:after="0" w:line="408" w:lineRule="exact"/>
        <w:ind w:left="0" w:right="0" w:firstLine="576"/>
        <w:jc w:val="left"/>
      </w:pPr>
      <w:r>
        <w:rPr/>
        <w:t xml:space="preserve">(2) Any surcharge imposed shall be collected by the clerk of the court and remitted to the county treasurer for deposit in a separate account to be used solely for dispute resolution centers established under this chapter. Money received under this section is not subject to RCW 3.62.020(2) or 3.62.090. The accounts created pursuant to this subsection shall be audited by the state auditor in accordance with RCW 43.09.260.</w:t>
      </w:r>
    </w:p>
    <w:p>
      <w:pPr>
        <w:spacing w:before="0" w:after="0" w:line="408" w:lineRule="exact"/>
        <w:ind w:left="0" w:right="0" w:firstLine="576"/>
        <w:jc w:val="left"/>
      </w:pPr>
      <w:r>
        <w:rPr>
          <w:u w:val="single"/>
        </w:rPr>
        <w:t xml:space="preserve">(3) The flat fee levels established in this section may be adjusted annually up to the state's fiscal growth factor, as defined in RCW 43.135.025.</w:t>
      </w:r>
    </w:p>
    <w:p/>
    <w:p>
      <w:pPr>
        <w:jc w:val="center"/>
      </w:pPr>
      <w:r>
        <w:rPr>
          <w:b/>
        </w:rPr>
        <w:t>--- END ---</w:t>
      </w:r>
    </w:p>
    <w:sectPr>
      <w:pgNumType w:start="1"/>
      <w:footerReference xmlns:r="http://schemas.openxmlformats.org/officeDocument/2006/relationships" r:id="R82446d34388f42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8ead9ada145f3" /><Relationship Type="http://schemas.openxmlformats.org/officeDocument/2006/relationships/footer" Target="/word/footer.xml" Id="R82446d34388f423b" /></Relationships>
</file>