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74f36ae3a406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2667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Farrell, Holy, Pollet, Shea, Nealey, Walsh, Scott, Kagi, Senn, Johnson, and Short)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administrative processes of the state parks and recreation commission that require a majority vote of the commission; amending RCW 79A.05.025; reenacting and amending RCW 79A.05.030;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u w:val="single"/>
        </w:rPr>
        <w:t xml:space="preserve">(1)</w:t>
      </w:r>
      <w:r>
        <w:rPr/>
        <w:t xml:space="preserve">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u w:val="single"/>
        </w:rPr>
        <w:t xml:space="preserve">(2)(a) Except as provided in (b) of this subsection, the lease of park land or property for a period exceeding twenty years requires the unanimous consent of the commission.</w:t>
      </w:r>
    </w:p>
    <w:p>
      <w:pPr>
        <w:spacing w:before="0" w:after="0" w:line="408" w:lineRule="exact"/>
        <w:ind w:left="0" w:right="0" w:firstLine="576"/>
        <w:jc w:val="left"/>
      </w:pPr>
      <w:r>
        <w:rPr>
          <w:u w:val="single"/>
        </w:rPr>
        <w:t xml:space="preserve">(b) </w:t>
      </w:r>
      <w:r>
        <w:rPr>
          <w:u w:val="single"/>
        </w:rPr>
        <w:t xml:space="preserve">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of this act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u w:val="single"/>
        </w:rPr>
        <w:t xml:space="preserve">(i) The main seminary building;</w:t>
      </w:r>
    </w:p>
    <w:p>
      <w:pPr>
        <w:spacing w:before="0" w:after="0" w:line="408" w:lineRule="exact"/>
        <w:ind w:left="0" w:right="0" w:firstLine="576"/>
        <w:jc w:val="left"/>
      </w:pPr>
      <w:r>
        <w:rPr>
          <w:u w:val="single"/>
        </w:rPr>
        <w:t xml:space="preserve">(ii) The pool building;</w:t>
      </w:r>
    </w:p>
    <w:p>
      <w:pPr>
        <w:spacing w:before="0" w:after="0" w:line="408" w:lineRule="exact"/>
        <w:ind w:left="0" w:right="0" w:firstLine="576"/>
        <w:jc w:val="left"/>
      </w:pPr>
      <w:r>
        <w:rPr>
          <w:u w:val="single"/>
        </w:rPr>
        <w:t xml:space="preserve">(iii) The gymnasium;</w:t>
      </w:r>
    </w:p>
    <w:p>
      <w:pPr>
        <w:spacing w:before="0" w:after="0" w:line="408" w:lineRule="exact"/>
        <w:ind w:left="0" w:right="0" w:firstLine="576"/>
        <w:jc w:val="left"/>
      </w:pPr>
      <w:r>
        <w:rPr>
          <w:u w:val="single"/>
        </w:rPr>
        <w:t xml:space="preserve">(iv) The parking lot located in between locations identified in (b)(i), (ii), and (iii) of this subsection;</w:t>
      </w:r>
    </w:p>
    <w:p>
      <w:pPr>
        <w:spacing w:before="0" w:after="0" w:line="408" w:lineRule="exact"/>
        <w:ind w:left="0" w:right="0" w:firstLine="576"/>
        <w:jc w:val="left"/>
      </w:pPr>
      <w:r>
        <w:rPr>
          <w:u w:val="single"/>
        </w:rPr>
        <w:t xml:space="preserve">(v) The parking lot immediately north of the gymnasium; and</w:t>
      </w:r>
    </w:p>
    <w:p>
      <w:pPr>
        <w:spacing w:before="0" w:after="0" w:line="408" w:lineRule="exact"/>
        <w:ind w:left="0" w:right="0" w:firstLine="576"/>
        <w:jc w:val="left"/>
      </w:pPr>
      <w:r>
        <w:rPr>
          <w:u w:val="single"/>
        </w:rPr>
        <w:t xml:space="preserve">(vi) Associated property immediately adjacent to the areas listed in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fifty years, </w:t>
      </w:r>
      <w:r>
        <w:rPr>
          <w:u w:val="single"/>
        </w:rPr>
        <w:t xml:space="preserve">except for a lease associated with land or property described in RCW 79A.05.025(2)(b) which may not exceed sixty-two years,</w:t>
      </w:r>
      <w:r>
        <w:rPr/>
        <w:t xml:space="preserve"> and upon such conditions as shall be approved by the commission</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(a) L</w:t>
      </w:r>
      <w:r>
        <w:rPr/>
        <w:t xml:space="preserve">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w:t>
      </w:r>
      <w:r>
        <w:t>))</w:t>
      </w:r>
      <w:r>
        <w:rPr/>
        <w:t xml:space="preserve"> </w:t>
      </w:r>
      <w:r>
        <w:rPr>
          <w:u w:val="single"/>
        </w:rPr>
        <w:t xml:space="preserve">vote consistent with RCW 79A.05.025(2).</w:t>
      </w:r>
    </w:p>
    <w:p>
      <w:pPr>
        <w:spacing w:before="0" w:after="0" w:line="408" w:lineRule="exact"/>
        <w:ind w:left="0" w:right="0" w:firstLine="576"/>
        <w:jc w:val="left"/>
      </w:pPr>
      <w:r>
        <w:rPr>
          <w:u w:val="single"/>
        </w:rPr>
        <w:t xml:space="preserve">(b) I</w:t>
      </w:r>
      <w:r>
        <w:rPr/>
        <w:t xml:space="preserve">f, during the term of any concession or lease, it is the opinion of the commission that it would be in the best interest of the state, the commission may, with the consent of the concessionaire or lessee, alter and amend the terms and conditions of such concession or lease</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(c) T</w:t>
      </w:r>
      <w:r>
        <w:rPr/>
        <w:t xml:space="preserve">elevision station leases shall be subject to the provisions of RCW 79A.05.085</w:t>
      </w:r>
      <w:r>
        <w:t>((</w:t>
      </w:r>
      <w:r>
        <w:rPr>
          <w:strike/>
        </w:rPr>
        <w:t xml:space="preserve">, only: PROVIDED FURTHER, That</w:t>
      </w:r>
      <w:r>
        <w:t>))</w:t>
      </w:r>
      <w:r>
        <w:rPr>
          <w:u w:val="single"/>
        </w:rPr>
        <w:t xml:space="preserve">.</w:t>
      </w:r>
    </w:p>
    <w:p>
      <w:pPr>
        <w:spacing w:before="0" w:after="0" w:line="408" w:lineRule="exact"/>
        <w:ind w:left="0" w:right="0" w:firstLine="576"/>
        <w:jc w:val="left"/>
      </w:pPr>
      <w:r>
        <w:rPr>
          <w:u w:val="single"/>
        </w:rPr>
        <w:t xml:space="preserve">(d) T</w:t>
      </w:r>
      <w:r>
        <w:rPr/>
        <w:t xml:space="preserve">he rates of </w:t>
      </w:r>
      <w:r>
        <w:t>((</w:t>
      </w:r>
      <w:r>
        <w:rPr>
          <w:strike/>
        </w:rPr>
        <w:t xml:space="preserve">such</w:t>
      </w:r>
      <w:r>
        <w:t>))</w:t>
      </w:r>
      <w:r>
        <w:rPr/>
        <w:t xml:space="preserve"> concessions or leases shall be renegotiated at five-year intervals</w:t>
      </w:r>
      <w:r>
        <w:rPr/>
        <w:t xml:space="preserve">.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w:t>
      </w:r>
      <w:r>
        <w:rPr>
          <w:u w:val="single"/>
        </w:rPr>
        <w:t xml:space="preserve">,</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in consultation with the state parks and recreation commission, shall conduct a study on the economic feasibility of potential public or nonprofit uses of the seminary building at Saint Edward state park. The study must consider:</w:t>
      </w:r>
    </w:p>
    <w:p>
      <w:pPr>
        <w:spacing w:before="0" w:after="0" w:line="408" w:lineRule="exact"/>
        <w:ind w:left="0" w:right="0" w:firstLine="576"/>
        <w:jc w:val="left"/>
      </w:pPr>
      <w:r>
        <w:rPr/>
        <w:t xml:space="preserve">(a) Existing cost estimates for building renovation;</w:t>
      </w:r>
    </w:p>
    <w:p>
      <w:pPr>
        <w:spacing w:before="0" w:after="0" w:line="408" w:lineRule="exact"/>
        <w:ind w:left="0" w:right="0" w:firstLine="576"/>
        <w:jc w:val="left"/>
      </w:pPr>
      <w:r>
        <w:rPr/>
        <w:t xml:space="preserve">(b) Maintenance costs;</w:t>
      </w:r>
    </w:p>
    <w:p>
      <w:pPr>
        <w:spacing w:before="0" w:after="0" w:line="408" w:lineRule="exact"/>
        <w:ind w:left="0" w:right="0" w:firstLine="576"/>
        <w:jc w:val="left"/>
      </w:pPr>
      <w:r>
        <w:rPr/>
        <w:t xml:space="preserve">(c) Traffic implications of potential uses;</w:t>
      </w:r>
    </w:p>
    <w:p>
      <w:pPr>
        <w:spacing w:before="0" w:after="0" w:line="408" w:lineRule="exact"/>
        <w:ind w:left="0" w:right="0" w:firstLine="576"/>
        <w:jc w:val="left"/>
      </w:pPr>
      <w:r>
        <w:rPr/>
        <w:t xml:space="preserve">(d) Potential limitations in uses imposed by the United States national park service as a result of land water and conservation funding and land use codes; and</w:t>
      </w:r>
    </w:p>
    <w:p>
      <w:pPr>
        <w:spacing w:before="0" w:after="0" w:line="408" w:lineRule="exact"/>
        <w:ind w:left="0" w:right="0" w:firstLine="576"/>
        <w:jc w:val="left"/>
      </w:pPr>
      <w:r>
        <w:rPr/>
        <w:t xml:space="preserve">(e) Data developed by the state parks and recreation commission, the city of Kenmore, and independent third parties that have previously studied potential uses of the building.</w:t>
      </w:r>
    </w:p>
    <w:p>
      <w:pPr>
        <w:spacing w:before="0" w:after="0" w:line="408" w:lineRule="exact"/>
        <w:ind w:left="0" w:right="0" w:firstLine="576"/>
        <w:jc w:val="left"/>
      </w:pPr>
      <w:r>
        <w:rPr/>
        <w:t xml:space="preserve">(2) The study must be submitted to the state parks and recreation commission, the governor's office, and the appropriate fiscal and policy committees of the legislature by July 31, 2016. The department of commerce may contract out for the study.</w:t>
      </w:r>
    </w:p>
    <w:p/>
    <w:p>
      <w:pPr>
        <w:jc w:val="center"/>
      </w:pPr>
      <w:r>
        <w:rPr>
          <w:b/>
        </w:rPr>
        <w:t>--- END ---</w:t>
      </w:r>
    </w:p>
    <w:sectPr>
      <w:pgNumType w:start="1"/>
      <w:footerReference xmlns:r="http://schemas.openxmlformats.org/officeDocument/2006/relationships" r:id="R0fdcf6523b8543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efa4a7497429e" /><Relationship Type="http://schemas.openxmlformats.org/officeDocument/2006/relationships/footer" Target="/word/footer.xml" Id="R0fdcf6523b85431e" /></Relationships>
</file>