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3ccd9da89c40d8" /></Relationships>
</file>

<file path=word/document.xml><?xml version="1.0" encoding="utf-8"?>
<w:document xmlns:w="http://schemas.openxmlformats.org/wordprocessingml/2006/main">
  <w:body>
    <w:p>
      <w:r>
        <w:t>H-3214.3</w:t>
      </w:r>
    </w:p>
    <w:p>
      <w:pPr>
        <w:jc w:val="center"/>
      </w:pPr>
      <w:r>
        <w:t>_______________________________________________</w:t>
      </w:r>
    </w:p>
    <w:p/>
    <w:p>
      <w:pPr>
        <w:jc w:val="center"/>
      </w:pPr>
      <w:r>
        <w:rPr>
          <w:b/>
        </w:rPr>
        <w:t>HOUSE BILL 2666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Santos, Walkinshaw, and Farrell</w:t>
      </w:r>
    </w:p>
    <w:p/>
    <w:p>
      <w:r>
        <w:rPr>
          <w:t xml:space="preserve">Read first time 01/18/16.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transparency on the effect of tax expenditures on the state's budget; amending RCW 43.06.400, 43.88.030, and 82.33.060; reenacting and amending RCW 82.33.020;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Beginning in January </w:t>
      </w:r>
      <w:r>
        <w:t>((</w:t>
      </w:r>
      <w:r>
        <w:rPr>
          <w:strike/>
        </w:rPr>
        <w:t xml:space="preserve">1984</w:t>
      </w:r>
      <w:r>
        <w:t>))</w:t>
      </w:r>
      <w:r>
        <w:rPr/>
        <w:t xml:space="preserve"> </w:t>
      </w:r>
      <w:r>
        <w:rPr>
          <w:u w:val="single"/>
        </w:rPr>
        <w:t xml:space="preserve">2017</w:t>
      </w:r>
      <w:r>
        <w:rPr/>
        <w:t xml:space="preserve">, and in January of every </w:t>
      </w:r>
      <w:r>
        <w:t>((</w:t>
      </w:r>
      <w:r>
        <w:rPr>
          <w:strike/>
        </w:rPr>
        <w:t xml:space="preserve">fourth</w:t>
      </w:r>
      <w:r>
        <w:t>))</w:t>
      </w:r>
      <w:r>
        <w:rPr/>
        <w:t xml:space="preserve"> </w:t>
      </w:r>
      <w:r>
        <w:rPr>
          <w:u w:val="single"/>
        </w:rPr>
        <w:t xml:space="preserve">second</w:t>
      </w:r>
      <w:r>
        <w:rPr/>
        <w:t xml:space="preserve">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exemptions. The listing must include an estimate of the revenue lost from the tax exemption, the purpose of the tax exemption, the persons, organizations, or parts of the population which benefit from the tax exemption, and whether or not the tax exemption conflicts with another state program. The listing must include but not be limited to the following revenue sources:</w:t>
      </w:r>
    </w:p>
    <w:p>
      <w:pPr>
        <w:spacing w:before="0" w:after="0" w:line="408" w:lineRule="exact"/>
        <w:ind w:left="0" w:right="0" w:firstLine="576"/>
        <w:jc w:val="left"/>
      </w:pPr>
      <w:r>
        <w:rPr/>
        <w:t xml:space="preserve">(a) Real and personal property tax exemptions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listing required by this section with the assistance of any other agencies or departments as may be required.</w:t>
      </w:r>
    </w:p>
    <w:p>
      <w:pPr>
        <w:spacing w:before="0" w:after="0" w:line="408" w:lineRule="exact"/>
        <w:ind w:left="0" w:right="0" w:firstLine="576"/>
        <w:jc w:val="left"/>
      </w:pPr>
      <w:r>
        <w:rPr/>
        <w:t xml:space="preserve">(3) The department of revenue must present the listing to the ways and means committees of each house in public hearings.</w:t>
      </w:r>
    </w:p>
    <w:p>
      <w:pPr>
        <w:spacing w:before="0" w:after="0" w:line="408" w:lineRule="exact"/>
        <w:ind w:left="0" w:right="0" w:firstLine="576"/>
        <w:jc w:val="left"/>
      </w:pPr>
      <w:r>
        <w:rPr/>
        <w:t xml:space="preserve">(4) Beginning in January </w:t>
      </w:r>
      <w:r>
        <w:t>((</w:t>
      </w:r>
      <w:r>
        <w:rPr>
          <w:strike/>
        </w:rPr>
        <w:t xml:space="preserve">1984</w:t>
      </w:r>
      <w:r>
        <w:t>))</w:t>
      </w:r>
      <w:r>
        <w:rPr/>
        <w:t xml:space="preserve"> </w:t>
      </w:r>
      <w:r>
        <w:rPr>
          <w:u w:val="single"/>
        </w:rPr>
        <w:t xml:space="preserve">2017</w:t>
      </w:r>
      <w:r>
        <w:rPr/>
        <w:t xml:space="preserve">, and every </w:t>
      </w:r>
      <w:r>
        <w:t>((</w:t>
      </w:r>
      <w:r>
        <w:rPr>
          <w:strike/>
        </w:rPr>
        <w:t xml:space="preserve">four</w:t>
      </w:r>
      <w:r>
        <w:t>))</w:t>
      </w:r>
      <w:r>
        <w:rPr/>
        <w:t xml:space="preserve"> </w:t>
      </w:r>
      <w:r>
        <w:rPr>
          <w:u w:val="single"/>
        </w:rPr>
        <w:t xml:space="preserve">two</w:t>
      </w:r>
      <w:r>
        <w:rPr/>
        <w:t xml:space="preserve"> years thereafter</w:t>
      </w:r>
      <w:r>
        <w:rPr>
          <w:u w:val="single"/>
        </w:rPr>
        <w:t xml:space="preserve">,</w:t>
      </w:r>
      <w:r>
        <w:rPr/>
        <w:t xml:space="preserve"> the governor is requested to review the report from the department of revenue and may submit recommendations to the legislature with respect to the repeal or modification of any tax exemption. The ways and means committees of each house and the appropriate standing committee of each house must hold public hearings and take appropriate action on the recommendations submitted by the governor.</w:t>
      </w:r>
    </w:p>
    <w:p>
      <w:pPr>
        <w:spacing w:before="0" w:after="0" w:line="408" w:lineRule="exact"/>
        <w:ind w:left="0" w:right="0" w:firstLine="576"/>
        <w:jc w:val="left"/>
      </w:pPr>
      <w:r>
        <w:rPr/>
        <w:t xml:space="preserve">(5) As used in this section, "tax exemption" means an exemption, exclusion, or deduction from the base of a tax; a credit against a tax; a deferral of a tax; or a preferential tax rate.</w:t>
      </w:r>
    </w:p>
    <w:p>
      <w:pPr>
        <w:spacing w:before="0" w:after="0" w:line="408" w:lineRule="exact"/>
        <w:ind w:left="0" w:right="0" w:firstLine="576"/>
        <w:jc w:val="left"/>
      </w:pPr>
      <w:r>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w:t>
      </w:r>
      <w:r>
        <w:t>((</w:t>
      </w:r>
      <w:r>
        <w:rPr>
          <w:strike/>
        </w:rPr>
        <w:t xml:space="preserve">shall</w:t>
      </w:r>
      <w:r>
        <w:t>))</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 The budget document or documents </w:t>
      </w:r>
      <w:r>
        <w:t>((</w:t>
      </w:r>
      <w:r>
        <w:rPr>
          <w:strike/>
        </w:rPr>
        <w:t xml:space="preserve">shall</w:t>
      </w:r>
      <w:r>
        <w:t>))</w:t>
      </w:r>
      <w:r>
        <w:rPr/>
        <w:t xml:space="preserve"> </w:t>
      </w:r>
      <w:r>
        <w:rPr>
          <w:u w:val="single"/>
        </w:rPr>
        <w:t xml:space="preserve">must</w:t>
      </w:r>
      <w:r>
        <w:rPr/>
        <w:t xml:space="preserve"> consist of the governor's budget message </w:t>
      </w:r>
      <w:r>
        <w:t>((</w:t>
      </w:r>
      <w:r>
        <w:rPr>
          <w:strike/>
        </w:rPr>
        <w:t xml:space="preserve">which shall</w:t>
      </w:r>
      <w:r>
        <w:t>))</w:t>
      </w:r>
      <w:r>
        <w:rPr/>
        <w:t xml:space="preserve"> </w:t>
      </w:r>
      <w:r>
        <w:rPr>
          <w:u w:val="single"/>
        </w:rPr>
        <w:t xml:space="preserve">that must</w:t>
      </w:r>
      <w:r>
        <w:rPr/>
        <w:t xml:space="preserve"> be explanatory of the budget and </w:t>
      </w:r>
      <w:r>
        <w:t>((</w:t>
      </w:r>
      <w:r>
        <w:rPr>
          <w:strike/>
        </w:rPr>
        <w:t xml:space="preserve">shall</w:t>
      </w:r>
      <w:r>
        <w:t>))</w:t>
      </w:r>
      <w:r>
        <w:rPr/>
        <w:t xml:space="preserve"> </w:t>
      </w:r>
      <w:r>
        <w:rPr>
          <w:u w:val="single"/>
        </w:rPr>
        <w:t xml:space="preserve">must</w:t>
      </w:r>
      <w:r>
        <w:rPr/>
        <w:t xml:space="preserve"> contain an outline of the proposed financial policies of the state for the ensuing fiscal period, as well as an outline of the proposed six-year financial policies where applicable, and </w:t>
      </w:r>
      <w:r>
        <w:t>((</w:t>
      </w:r>
      <w:r>
        <w:rPr>
          <w:strike/>
        </w:rPr>
        <w:t xml:space="preserve">shall</w:t>
      </w:r>
      <w:r>
        <w:t>))</w:t>
      </w:r>
      <w:r>
        <w:rPr/>
        <w:t xml:space="preserve"> </w:t>
      </w:r>
      <w:r>
        <w:rPr>
          <w:u w:val="single"/>
        </w:rPr>
        <w:t xml:space="preserve">must</w:t>
      </w:r>
      <w:r>
        <w:rPr/>
        <w:t xml:space="preserve"> describe in connection therewith the important features of the budget. The biennial budget document or documents </w:t>
      </w:r>
      <w:r>
        <w:t>((</w:t>
      </w:r>
      <w:r>
        <w:rPr>
          <w:strike/>
        </w:rPr>
        <w:t xml:space="preserve">shall</w:t>
      </w:r>
      <w:r>
        <w:t>))</w:t>
      </w:r>
      <w:r>
        <w:rPr/>
        <w:t xml:space="preserve"> </w:t>
      </w:r>
      <w:r>
        <w:rPr>
          <w:u w:val="single"/>
        </w:rPr>
        <w:t xml:space="preserve">must</w:t>
      </w:r>
      <w:r>
        <w:rPr/>
        <w:t xml:space="preserve"> also describe performance indicators that demonstrate measurable progress towards priority results. The message </w:t>
      </w:r>
      <w:r>
        <w:t>((</w:t>
      </w:r>
      <w:r>
        <w:rPr>
          <w:strike/>
        </w:rPr>
        <w:t xml:space="preserve">shall</w:t>
      </w:r>
      <w:r>
        <w:t>))</w:t>
      </w:r>
      <w:r>
        <w:rPr/>
        <w:t xml:space="preserve"> </w:t>
      </w:r>
      <w:r>
        <w:rPr>
          <w:u w:val="single"/>
        </w:rPr>
        <w:t xml:space="preserve">must</w:t>
      </w:r>
      <w:r>
        <w:rPr/>
        <w:t xml:space="preserve"> set forth the reasons for salient changes from the previous fiscal period in expenditure and revenue items and </w:t>
      </w:r>
      <w:r>
        <w:t>((</w:t>
      </w:r>
      <w:r>
        <w:rPr>
          <w:strike/>
        </w:rPr>
        <w:t xml:space="preserve">shall</w:t>
      </w:r>
      <w:r>
        <w:t>))</w:t>
      </w:r>
      <w:r>
        <w:rPr/>
        <w:t xml:space="preserve"> </w:t>
      </w:r>
      <w:r>
        <w:rPr>
          <w:u w:val="single"/>
        </w:rPr>
        <w:t xml:space="preserve">must</w:t>
      </w:r>
      <w:r>
        <w:rPr/>
        <w:t xml:space="preserve"> explain any major changes in financial policy. Attached to the budget message </w:t>
      </w:r>
      <w:r>
        <w:t>((</w:t>
      </w:r>
      <w:r>
        <w:rPr>
          <w:strike/>
        </w:rPr>
        <w:t xml:space="preserve">shall</w:t>
      </w:r>
      <w:r>
        <w:t>))</w:t>
      </w:r>
      <w:r>
        <w:rPr/>
        <w:t xml:space="preserve"> </w:t>
      </w:r>
      <w:r>
        <w:rPr>
          <w:u w:val="single"/>
        </w:rPr>
        <w:t xml:space="preserve">must</w:t>
      </w:r>
      <w:r>
        <w:rPr/>
        <w:t xml:space="preserve"> be such supporting schedules, exhibits and other explanatory material in respect to both current operations and capital improvements as the governor </w:t>
      </w:r>
      <w:r>
        <w:t>((</w:t>
      </w:r>
      <w:r>
        <w:rPr>
          <w:strike/>
        </w:rPr>
        <w:t xml:space="preserve">shall</w:t>
      </w:r>
      <w:r>
        <w:t>))</w:t>
      </w:r>
      <w:r>
        <w:rPr/>
        <w:t xml:space="preserve"> deem</w:t>
      </w:r>
      <w:r>
        <w:rPr>
          <w:u w:val="single"/>
        </w:rPr>
        <w:t xml:space="preserve">s</w:t>
      </w:r>
      <w:r>
        <w:rPr/>
        <w:t xml:space="preserve"> to be useful to the legislature. The budget document or documents </w:t>
      </w:r>
      <w:r>
        <w:t>((</w:t>
      </w:r>
      <w:r>
        <w:rPr>
          <w:strike/>
        </w:rPr>
        <w:t xml:space="preserve">shall</w:t>
      </w:r>
      <w:r>
        <w:t>))</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w:t>
      </w:r>
      <w:r>
        <w:t>((</w:t>
      </w:r>
      <w:r>
        <w:rPr>
          <w:strike/>
        </w:rPr>
        <w:t xml:space="preserve">shall</w:t>
      </w:r>
      <w:r>
        <w:t>))</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(2)</w:t>
      </w:r>
      <w:r>
        <w:rPr/>
        <w:t xml:space="preserve"> The budget document or documents </w:t>
      </w:r>
      <w:r>
        <w:t>((</w:t>
      </w:r>
      <w:r>
        <w:rPr>
          <w:strike/>
        </w:rPr>
        <w:t xml:space="preserve">shall</w:t>
      </w:r>
      <w:r>
        <w:t>))</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w:t>
      </w:r>
      <w:r>
        <w:t>((</w:t>
      </w:r>
      <w:r>
        <w:rPr>
          <w:strike/>
        </w:rPr>
        <w:t xml:space="preserve">shall</w:t>
      </w:r>
      <w:r>
        <w:t>))</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budget document or documents </w:t>
      </w:r>
      <w:r>
        <w:t>((</w:t>
      </w:r>
      <w:r>
        <w:rPr>
          <w:strike/>
        </w:rPr>
        <w:t xml:space="preserve">shall</w:t>
      </w:r>
      <w:r>
        <w:t>))</w:t>
      </w:r>
      <w:r>
        <w:rPr/>
        <w:t xml:space="preserve"> </w:t>
      </w:r>
      <w:r>
        <w:rPr>
          <w:u w:val="single"/>
        </w:rPr>
        <w:t xml:space="preserve">must</w:t>
      </w:r>
      <w:r>
        <w:rPr/>
        <w:t xml:space="preserve">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w:t>
      </w:r>
      <w:r>
        <w:t>((</w:t>
      </w:r>
      <w:r>
        <w:rPr>
          <w:strike/>
        </w:rPr>
        <w:t xml:space="preserve">shall</w:t>
      </w:r>
      <w:r>
        <w:t>))</w:t>
      </w:r>
      <w:r>
        <w:rPr/>
        <w:t xml:space="preserve"> </w:t>
      </w:r>
      <w:r>
        <w:rPr>
          <w:u w:val="single"/>
        </w:rPr>
        <w:t xml:space="preserve">must</w:t>
      </w:r>
      <w:r>
        <w:rPr/>
        <w:t xml:space="preserve"> equal or exceed the total of proposed applicable expenditures. The budget document or documents </w:t>
      </w:r>
      <w:r>
        <w:t>((</w:t>
      </w:r>
      <w:r>
        <w:rPr>
          <w:strike/>
        </w:rPr>
        <w:t xml:space="preserve">shall</w:t>
      </w:r>
      <w:r>
        <w:t>))</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governor's operating budget document or documents </w:t>
      </w:r>
      <w:r>
        <w:t>((</w:t>
      </w:r>
      <w:r>
        <w:rPr>
          <w:strike/>
        </w:rPr>
        <w:t xml:space="preserve">shall</w:t>
      </w:r>
      <w:r>
        <w:t>))</w:t>
      </w:r>
      <w:r>
        <w:rPr/>
        <w:t xml:space="preserve"> </w:t>
      </w:r>
      <w:r>
        <w:rPr>
          <w:u w:val="single"/>
        </w:rPr>
        <w:t xml:space="preserve">must</w:t>
      </w:r>
      <w:r>
        <w:rPr/>
        <w:t xml:space="preserve"> reflect the statewide priorities as required by RCW 43.88.090.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governor's operating budget document or documents </w:t>
      </w:r>
      <w:r>
        <w:t>((</w:t>
      </w:r>
      <w:r>
        <w:rPr>
          <w:strike/>
        </w:rPr>
        <w:t xml:space="preserve">shall</w:t>
      </w:r>
      <w:r>
        <w:t>))</w:t>
      </w:r>
      <w:r>
        <w:rPr/>
        <w:t xml:space="preserve"> </w:t>
      </w:r>
      <w:r>
        <w:rPr>
          <w:u w:val="single"/>
        </w:rPr>
        <w:t xml:space="preserve">must</w:t>
      </w:r>
      <w:r>
        <w:rPr/>
        <w:t xml:space="preserve"> identify activities that are not addressing the statewide priorities.</w:t>
      </w:r>
    </w:p>
    <w:p>
      <w:pPr>
        <w:spacing w:before="0" w:after="0" w:line="408" w:lineRule="exact"/>
        <w:ind w:left="0" w:right="0" w:firstLine="576"/>
        <w:jc w:val="left"/>
      </w:pPr>
      <w:r>
        <w:t>((</w:t>
      </w:r>
      <w:r>
        <w:rPr>
          <w:strike/>
        </w:rPr>
        <w:t xml:space="preserve">(5)</w:t>
      </w:r>
      <w:r>
        <w:t>))</w:t>
      </w:r>
      <w:r>
        <w:rPr/>
        <w:t xml:space="preserve"> </w:t>
      </w:r>
      <w:r>
        <w:rPr>
          <w:u w:val="single"/>
        </w:rPr>
        <w:t xml:space="preserve">(6) The governor's operating budget document or documents must clearly state a baseline revenue estimate in the operating budget balance sheet that excludes the impact of any current tax preferences and a revenue adjustment that includes the estimated impact of current tax preferences. The baseline revenue estimates must be clearly and transparently adjusted to reflect the impact of all current tax preferences. The revenue adjustment must be labeled as "currently required tax expenditures." If the governor chooses to expand any current tax preference, including the extension of existing preferences, or authorize a new tax preference, those amounts must also be clearly displayed and labeled as "additional proposed tax expenditures." Supporting documents must include a link to the listing required under RCW 43.06.400, published by the department of revenue, detailing the revenue impact of all individual tax preferences. For purposes of this section, tax preference has the same meaning as in RCW 43.136.021.</w:t>
      </w:r>
    </w:p>
    <w:p>
      <w:pPr>
        <w:spacing w:before="0" w:after="0" w:line="408" w:lineRule="exact"/>
        <w:ind w:left="0" w:right="0" w:firstLine="576"/>
        <w:jc w:val="left"/>
      </w:pPr>
      <w:r>
        <w:rPr>
          <w:u w:val="single"/>
        </w:rPr>
        <w:t xml:space="preserve">(7)</w:t>
      </w:r>
      <w:r>
        <w:rPr/>
        <w:t xml:space="preserve"> A separate capital budget document or schedule </w:t>
      </w:r>
      <w:r>
        <w:t>((</w:t>
      </w:r>
      <w:r>
        <w:rPr>
          <w:strike/>
        </w:rPr>
        <w:t xml:space="preserve">shall</w:t>
      </w:r>
      <w:r>
        <w:t>))</w:t>
      </w:r>
      <w:r>
        <w:rPr/>
        <w:t xml:space="preserve"> </w:t>
      </w:r>
      <w:r>
        <w:rPr>
          <w:u w:val="single"/>
        </w:rPr>
        <w:t xml:space="preserve">must</w:t>
      </w:r>
      <w:r>
        <w:rPr/>
        <w:t xml:space="preserve"> be submitted that </w:t>
      </w:r>
      <w:r>
        <w:t>((</w:t>
      </w:r>
      <w:r>
        <w:rPr>
          <w:strike/>
        </w:rPr>
        <w:t xml:space="preserve">will</w:t>
      </w:r>
      <w:r>
        <w:t>))</w:t>
      </w:r>
      <w:r>
        <w:rPr/>
        <w:t xml:space="preserve"> contain</w:t>
      </w:r>
      <w:r>
        <w:rPr>
          <w:u w:val="single"/>
        </w:rPr>
        <w:t xml:space="preserve">s</w:t>
      </w:r>
      <w:r>
        <w:rPr/>
        <w:t xml:space="preserve">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w:t>
      </w:r>
      <w:r>
        <w:t>((</w:t>
      </w:r>
      <w:r>
        <w:rPr>
          <w:strike/>
        </w:rPr>
        <w:t xml:space="preserve">shall</w:t>
      </w:r>
      <w:r>
        <w:t>))</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w:t>
      </w:r>
      <w:r>
        <w:t>((</w:t>
      </w:r>
      <w:r>
        <w:rPr>
          <w:strike/>
        </w:rPr>
        <w:t xml:space="preserve">shall</w:t>
      </w:r>
      <w:r>
        <w:t>))</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t>((</w:t>
      </w:r>
      <w:r>
        <w:rPr>
          <w:strike/>
        </w:rPr>
        <w:t xml:space="preserve">shall</w:t>
      </w:r>
      <w:r>
        <w:t>))</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t>((</w:t>
      </w:r>
      <w:r>
        <w:rPr>
          <w:strike/>
        </w:rPr>
        <w:t xml:space="preserve">shall</w:t>
      </w:r>
      <w:r>
        <w:t>))</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t>((</w:t>
      </w:r>
      <w:r>
        <w:rPr>
          <w:strike/>
        </w:rPr>
        <w:t xml:space="preserve">shall</w:t>
      </w:r>
      <w:r>
        <w:t>))</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u w:val="single"/>
        </w:rPr>
        <w:t xml:space="preserve">(8)</w:t>
      </w:r>
      <w:r>
        <w:rPr/>
        <w:t xml:space="preserve"> For purposes of </w:t>
      </w:r>
      <w:r>
        <w:t>((</w:t>
      </w:r>
      <w:r>
        <w:rPr>
          <w:strike/>
        </w:rPr>
        <w:t xml:space="preserve">this</w:t>
      </w:r>
      <w:r>
        <w:t>))</w:t>
      </w:r>
      <w:r>
        <w:rPr/>
        <w:t xml:space="preserve"> subsection </w:t>
      </w:r>
      <w:r>
        <w:t>((</w:t>
      </w:r>
      <w:r>
        <w:rPr>
          <w:strike/>
        </w:rPr>
        <w:t xml:space="preserve">(5)</w:t>
      </w:r>
      <w:r>
        <w:t>))</w:t>
      </w:r>
      <w:r>
        <w:rPr/>
        <w:t xml:space="preserve"> </w:t>
      </w:r>
      <w:r>
        <w:rPr>
          <w:u w:val="single"/>
        </w:rPr>
        <w:t xml:space="preserve">(7) of this section</w:t>
      </w:r>
      <w:r>
        <w:rPr/>
        <w:t xml:space="preserve">, the term "capital project" </w:t>
      </w:r>
      <w:r>
        <w:t>((</w:t>
      </w:r>
      <w:r>
        <w:rPr>
          <w:strike/>
        </w:rPr>
        <w:t xml:space="preserve">shall</w:t>
      </w:r>
      <w:r>
        <w:t>))</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No change affecting the comparability of agency or program information relating to expenditures, revenues, workload, performance and personnel </w:t>
      </w:r>
      <w:r>
        <w:t>((</w:t>
      </w:r>
      <w:r>
        <w:rPr>
          <w:strike/>
        </w:rPr>
        <w:t xml:space="preserve">shall</w:t>
      </w:r>
      <w:r>
        <w:t>))</w:t>
      </w:r>
      <w:r>
        <w:rPr/>
        <w:t xml:space="preserve"> </w:t>
      </w:r>
      <w:r>
        <w:rPr>
          <w:u w:val="single"/>
        </w:rPr>
        <w:t xml:space="preserve">may</w:t>
      </w:r>
      <w:r>
        <w:rPr/>
        <w:t xml:space="preserve"> be made in the format of any budget document or report presented to the legislature under this section or RCW 43.88.160(1) relative to the format of the budget document or report </w:t>
      </w:r>
      <w:r>
        <w:t>((</w:t>
      </w:r>
      <w:r>
        <w:rPr>
          <w:strike/>
        </w:rPr>
        <w:t xml:space="preserve">which</w:t>
      </w:r>
      <w:r>
        <w:t>))</w:t>
      </w:r>
      <w:r>
        <w:rPr/>
        <w:t xml:space="preserve"> </w:t>
      </w:r>
      <w:r>
        <w:rPr>
          <w:u w:val="single"/>
        </w:rPr>
        <w:t xml:space="preserve">that</w:t>
      </w:r>
      <w:r>
        <w:rPr/>
        <w:t xml:space="preserve"> was presented to the previous regular session of the legislature during an odd-numbered year without prior legislative concurrence. Prior legislative concurrence </w:t>
      </w:r>
      <w:r>
        <w:t>((</w:t>
      </w:r>
      <w:r>
        <w:rPr>
          <w:strike/>
        </w:rPr>
        <w:t xml:space="preserve">shall</w:t>
      </w:r>
      <w:r>
        <w:t>))</w:t>
      </w:r>
      <w:r>
        <w:rPr/>
        <w:t xml:space="preserve"> </w:t>
      </w:r>
      <w:r>
        <w:rPr>
          <w:u w:val="single"/>
        </w:rPr>
        <w:t xml:space="preserve">must</w:t>
      </w:r>
      <w:r>
        <w:rPr/>
        <w:t xml:space="preserve">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2015 c 3 s 14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The supervisor must submit forecasts prepared under this section, along with any unofficial forecasts provided under RCW 82.33.010, to the governor and the members of the committees on ways and means and the chairs of the committees on transportation of the senate and house of representatives, including one copy to the staff of each of the committees, on or before November 20th, February 20th in the even-numbered years, March 20th in the odd-numbered years, June 27th, and September 27th. In fiscal year 2015, the March 20th forecast </w:t>
      </w:r>
      <w:r>
        <w:t>((</w:t>
      </w:r>
      <w:r>
        <w:rPr>
          <w:strike/>
        </w:rPr>
        <w:t xml:space="preserve">shall</w:t>
      </w:r>
      <w:r>
        <w:t>))</w:t>
      </w:r>
      <w:r>
        <w:rPr/>
        <w:t xml:space="preserve"> </w:t>
      </w:r>
      <w:r>
        <w:rPr>
          <w:u w:val="single"/>
        </w:rPr>
        <w:t xml:space="preserve">must</w:t>
      </w:r>
      <w:r>
        <w:rPr/>
        <w:t xml:space="preserve"> be submitted on or before February 20, 2015.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 In even-numbered years, the period covered by the forecasts for the state general fund and related funds </w:t>
      </w:r>
      <w:r>
        <w:t>((</w:t>
      </w:r>
      <w:r>
        <w:rPr>
          <w:strike/>
        </w:rPr>
        <w:t xml:space="preserve">shall</w:t>
      </w:r>
      <w:r>
        <w:t>))</w:t>
      </w:r>
      <w:r>
        <w:rPr/>
        <w:t xml:space="preserve"> </w:t>
      </w:r>
      <w:r>
        <w:rPr>
          <w:u w:val="single"/>
        </w:rPr>
        <w:t xml:space="preserve">must</w:t>
      </w:r>
      <w:r>
        <w:rPr/>
        <w:t xml:space="preserve"> be current fiscal and the next two ensuing fiscal biennia.</w:t>
      </w:r>
    </w:p>
    <w:p>
      <w:pPr>
        <w:spacing w:before="0" w:after="0" w:line="408" w:lineRule="exact"/>
        <w:ind w:left="0" w:right="0" w:firstLine="576"/>
        <w:jc w:val="left"/>
      </w:pPr>
      <w:r>
        <w:rPr/>
        <w:t xml:space="preserve">(3) </w:t>
      </w:r>
      <w:r>
        <w:rPr>
          <w:u w:val="single"/>
        </w:rPr>
        <w:t xml:space="preserve">The submitted forecast document or documents must clearly state a baseline revenue estimate that excludes the impact of any current tax preferences and a revenue adjustment that includes the estimated impact of current tax preferences. The baseline revenue estimates and forecast must be clearly and transparently adjusted to reflect the impact of all current tax preferences. The revenue adjustment must be labeled as "currently required tax expenditures." Supporting documents must include a link to the listing required under RCW 43.06.400, published by the department of revenue, detailing the revenue impact of all individual tax preferences. For purposes of this section, tax preference has the same meaning as provided in RCW 43.136.021.</w:t>
      </w:r>
    </w:p>
    <w:p>
      <w:pPr>
        <w:spacing w:before="0" w:after="0" w:line="408" w:lineRule="exact"/>
        <w:ind w:left="0" w:right="0" w:firstLine="576"/>
        <w:jc w:val="left"/>
      </w:pPr>
      <w:r>
        <w:rPr>
          <w:u w:val="single"/>
        </w:rPr>
        <w:t xml:space="preserve">(4)</w:t>
      </w:r>
      <w:r>
        <w:rPr/>
        <w:t xml:space="preserve">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economic and revenue forecast supervisor and staff must colocate and share information, data, and files with the tax research section of the department of revenue but may not duplicate the duties and functions of one another.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As part of its forecasts under subsection (1) of this section, the supervisor must provide estimated revenue from tuition fees as defined in RCW 28B.15.020.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060</w:t>
      </w:r>
      <w:r>
        <w:rPr/>
        <w:t xml:space="preserve"> and 2012 1st sp.s. c 8 s 4 are each amended to read as follows:</w:t>
      </w:r>
    </w:p>
    <w:p>
      <w:pPr>
        <w:spacing w:before="0" w:after="0" w:line="408" w:lineRule="exact"/>
        <w:ind w:left="0" w:right="0" w:firstLine="576"/>
        <w:jc w:val="left"/>
      </w:pPr>
      <w:r>
        <w:rPr/>
        <w:t xml:space="preserve">(1) To facilitate compliance with, and subject to the terms of, RCW 43.88.055, the state budget outlook work group </w:t>
      </w:r>
      <w:r>
        <w:t>((</w:t>
      </w:r>
      <w:r>
        <w:rPr>
          <w:strike/>
        </w:rPr>
        <w:t xml:space="preserve">shall</w:t>
      </w:r>
      <w:r>
        <w:t>))</w:t>
      </w:r>
      <w:r>
        <w:rPr/>
        <w:t xml:space="preserve"> </w:t>
      </w:r>
      <w:r>
        <w:rPr>
          <w:u w:val="single"/>
        </w:rPr>
        <w:t xml:space="preserve">must</w:t>
      </w:r>
      <w:r>
        <w:rPr/>
        <w:t xml:space="preserve"> prepare, subject to the approval of the economic and revenue forecast council under RCW 82.33.010, an official state budget outlook for state revenues and expenditures for the general fund and related funds. In odd</w:t>
      </w:r>
      <w:r>
        <w:rPr/>
        <w:noBreakHyphen/>
      </w:r>
      <w:r>
        <w:rPr/>
        <w:t xml:space="preserve">numbered years, the period covered by the November state budget outlook shall be the current fiscal biennium and the next ensuing fiscal biennium. In even</w:t>
      </w:r>
      <w:r>
        <w:rPr/>
        <w:noBreakHyphen/>
      </w:r>
      <w:r>
        <w:rPr/>
        <w:t xml:space="preserve">numbered years, the period covered by the November state budget outlook </w:t>
      </w:r>
      <w:r>
        <w:t>((</w:t>
      </w:r>
      <w:r>
        <w:rPr>
          <w:strike/>
        </w:rPr>
        <w:t xml:space="preserve">shall</w:t>
      </w:r>
      <w:r>
        <w:t>))</w:t>
      </w:r>
      <w:r>
        <w:rPr/>
        <w:t xml:space="preserve"> </w:t>
      </w:r>
      <w:r>
        <w:rPr>
          <w:u w:val="single"/>
        </w:rPr>
        <w:t xml:space="preserve">must</w:t>
      </w:r>
      <w:r>
        <w:rPr/>
        <w:t xml:space="preserve"> be the next two ensuing fiscal biennia. The revenue and caseload projections used in the outlook must reflect the most recent official forecasts adopted by the economic and revenue forecast council and the caseload forecast council for the years for which those forecasts are available.</w:t>
      </w:r>
    </w:p>
    <w:p>
      <w:pPr>
        <w:spacing w:before="0" w:after="0" w:line="408" w:lineRule="exact"/>
        <w:ind w:left="0" w:right="0" w:firstLine="576"/>
        <w:jc w:val="left"/>
      </w:pPr>
      <w:r>
        <w:rPr/>
        <w:t xml:space="preserve">(2) The outlook must:</w:t>
      </w:r>
    </w:p>
    <w:p>
      <w:pPr>
        <w:spacing w:before="0" w:after="0" w:line="408" w:lineRule="exact"/>
        <w:ind w:left="0" w:right="0" w:firstLine="576"/>
        <w:jc w:val="left"/>
      </w:pPr>
      <w:r>
        <w:rPr/>
        <w:t xml:space="preserve">(a) Estimate revenues to and expenditures from the state general fund and related funds. The estimate of ensuing biennium expenditures must include maintenance items including, but not limited to, continuation of current programs, forecasted growth of current entitlement programs, and actions required by law, including legislation with a future implementation date. Estimates of ensuing biennium expenditures must exclude policy items including, but not limited to, legislation not yet enacted by the legislature, collective bargaining agreements not yet approved by the legislature, and changes to levels of funding for employee salaries and benefits unless those changes are required by statute. Estimated maintenance level expenditures must also exclude costs of court rulings issued during or within fewer than ninety days before the beginning of the current legislative session;</w:t>
      </w:r>
    </w:p>
    <w:p>
      <w:pPr>
        <w:spacing w:before="0" w:after="0" w:line="408" w:lineRule="exact"/>
        <w:ind w:left="0" w:right="0" w:firstLine="576"/>
        <w:jc w:val="left"/>
      </w:pPr>
      <w:r>
        <w:rPr/>
        <w:t xml:space="preserve">(b) Address major budget and revenue drivers, including trends and variability in these drivers;</w:t>
      </w:r>
    </w:p>
    <w:p>
      <w:pPr>
        <w:spacing w:before="0" w:after="0" w:line="408" w:lineRule="exact"/>
        <w:ind w:left="0" w:right="0" w:firstLine="576"/>
        <w:jc w:val="left"/>
      </w:pPr>
      <w:r>
        <w:rPr/>
        <w:t xml:space="preserve">(c) Clearly state the assumptions used in the estimates of baseline and projected expenditures and any adjustments made to those estimates;</w:t>
      </w:r>
    </w:p>
    <w:p>
      <w:pPr>
        <w:spacing w:before="0" w:after="0" w:line="408" w:lineRule="exact"/>
        <w:ind w:left="0" w:right="0" w:firstLine="576"/>
        <w:jc w:val="left"/>
      </w:pPr>
      <w:r>
        <w:rPr/>
        <w:t xml:space="preserve">(d) Clearly state the assumptions used in the baseline revenue estimates and any adjustments to those estimates; </w:t>
      </w:r>
      <w:r>
        <w:t>((</w:t>
      </w:r>
      <w:r>
        <w:rPr>
          <w:strike/>
        </w:rPr>
        <w:t xml:space="preserve">and</w:t>
      </w:r>
      <w:r>
        <w:t>))</w:t>
      </w:r>
    </w:p>
    <w:p>
      <w:pPr>
        <w:spacing w:before="0" w:after="0" w:line="408" w:lineRule="exact"/>
        <w:ind w:left="0" w:right="0" w:firstLine="576"/>
        <w:jc w:val="left"/>
      </w:pPr>
      <w:r>
        <w:rPr/>
        <w:t xml:space="preserve">(e) </w:t>
      </w:r>
      <w:r>
        <w:rPr>
          <w:u w:val="single"/>
        </w:rPr>
        <w:t xml:space="preserve">The baseline revenue estimate must be calculated and displayed before the impact of any current tax preference. The baseline revenue must be clearly and transparently adjusted to reflect the impact of all current tax preferences, with this adjustment labeled as "currently required tax expenditures";</w:t>
      </w:r>
    </w:p>
    <w:p>
      <w:pPr>
        <w:spacing w:before="0" w:after="0" w:line="408" w:lineRule="exact"/>
        <w:ind w:left="0" w:right="0" w:firstLine="576"/>
        <w:jc w:val="left"/>
      </w:pPr>
      <w:r>
        <w:rPr>
          <w:u w:val="single"/>
        </w:rPr>
        <w:t xml:space="preserve">(f) For purposes of this section, tax preference has the same meaning as in RCW 43.136.021; and</w:t>
      </w:r>
    </w:p>
    <w:p>
      <w:pPr>
        <w:spacing w:before="0" w:after="0" w:line="408" w:lineRule="exact"/>
        <w:ind w:left="0" w:right="0" w:firstLine="576"/>
        <w:jc w:val="left"/>
      </w:pPr>
      <w:r>
        <w:rPr>
          <w:u w:val="single"/>
        </w:rPr>
        <w:t xml:space="preserve">(g)</w:t>
      </w:r>
      <w:r>
        <w:rPr/>
        <w:t xml:space="preserve"> Include the impact of previously enacted legislation with a future implementation date.</w:t>
      </w:r>
    </w:p>
    <w:p>
      <w:pPr>
        <w:spacing w:before="0" w:after="0" w:line="408" w:lineRule="exact"/>
        <w:ind w:left="0" w:right="0" w:firstLine="576"/>
        <w:jc w:val="left"/>
      </w:pPr>
      <w:r>
        <w:rPr/>
        <w:t xml:space="preserve">(3) The outlook must also separately include projections based on the revenues and expenditures proposed in the governor's budget documents submitted to the legislature under RCW 43.88.030.</w:t>
      </w:r>
    </w:p>
    <w:p>
      <w:pPr>
        <w:spacing w:before="0" w:after="0" w:line="408" w:lineRule="exact"/>
        <w:ind w:left="0" w:right="0" w:firstLine="576"/>
        <w:jc w:val="left"/>
      </w:pPr>
      <w:r>
        <w:rPr/>
        <w:t xml:space="preserve">(4) The economic and revenue forecast council </w:t>
      </w:r>
      <w:r>
        <w:t>((</w:t>
      </w:r>
      <w:r>
        <w:rPr>
          <w:strike/>
        </w:rPr>
        <w:t xml:space="preserve">shall</w:t>
      </w:r>
      <w:r>
        <w:t>))</w:t>
      </w:r>
      <w:r>
        <w:rPr/>
        <w:t xml:space="preserve"> </w:t>
      </w:r>
      <w:r>
        <w:rPr>
          <w:u w:val="single"/>
        </w:rPr>
        <w:t xml:space="preserve">must</w:t>
      </w:r>
      <w:r>
        <w:rPr/>
        <w:t xml:space="preserve"> submit state budget outlooks prepared under this section to the governor and the members of the committees on ways and means of the senate and house of representatives, including one copy to the staff of each of the committees, as required by this section.</w:t>
      </w:r>
    </w:p>
    <w:p>
      <w:pPr>
        <w:spacing w:before="0" w:after="0" w:line="408" w:lineRule="exact"/>
        <w:ind w:left="0" w:right="0" w:firstLine="576"/>
        <w:jc w:val="left"/>
      </w:pPr>
      <w:r>
        <w:rPr/>
        <w:t xml:space="preserve">(5) Each January, the state budget outlook work group </w:t>
      </w:r>
      <w:r>
        <w:t>((</w:t>
      </w:r>
      <w:r>
        <w:rPr>
          <w:strike/>
        </w:rPr>
        <w:t xml:space="preserve">shall</w:t>
      </w:r>
      <w:r>
        <w:t>))</w:t>
      </w:r>
      <w:r>
        <w:rPr/>
        <w:t xml:space="preserve"> </w:t>
      </w:r>
      <w:r>
        <w:rPr>
          <w:u w:val="single"/>
        </w:rPr>
        <w:t xml:space="preserve">must</w:t>
      </w:r>
      <w:r>
        <w:rPr/>
        <w:t xml:space="preserve"> also prepare, subject to the approval of the economic and revenue forecast council, a state budget outlook for state revenues and expenditures that reflects the governor's proposed budget document submitted to the legislature under chapter 43.88 RCW. Within thirty days following enactment of an operating budget by the legislature, the work group </w:t>
      </w:r>
      <w:r>
        <w:t>((</w:t>
      </w:r>
      <w:r>
        <w:rPr>
          <w:strike/>
        </w:rPr>
        <w:t xml:space="preserve">shall</w:t>
      </w:r>
      <w:r>
        <w:t>))</w:t>
      </w:r>
      <w:r>
        <w:rPr/>
        <w:t xml:space="preserve"> </w:t>
      </w:r>
      <w:r>
        <w:rPr>
          <w:u w:val="single"/>
        </w:rPr>
        <w:t xml:space="preserve">must</w:t>
      </w:r>
      <w:r>
        <w:rPr/>
        <w:t xml:space="preserve"> prepare, subject to the approval of the economic and revenue forecast council, a state budget outlook for state revenues and expenditures that reflects the enacted budget.</w:t>
      </w:r>
    </w:p>
    <w:p>
      <w:pPr>
        <w:spacing w:before="0" w:after="0" w:line="408" w:lineRule="exact"/>
        <w:ind w:left="0" w:right="0" w:firstLine="576"/>
        <w:jc w:val="left"/>
      </w:pPr>
      <w:r>
        <w:rPr/>
        <w:t xml:space="preserve">(6) All agencies of state government </w:t>
      </w:r>
      <w:r>
        <w:t>((</w:t>
      </w:r>
      <w:r>
        <w:rPr>
          <w:strike/>
        </w:rPr>
        <w:t xml:space="preserve">shall</w:t>
      </w:r>
      <w:r>
        <w:t>))</w:t>
      </w:r>
      <w:r>
        <w:rPr/>
        <w:t xml:space="preserve"> </w:t>
      </w:r>
      <w:r>
        <w:rPr>
          <w:u w:val="single"/>
        </w:rPr>
        <w:t xml:space="preserve">must</w:t>
      </w:r>
      <w:r>
        <w:rPr/>
        <w:t xml:space="preserve"> provide to the supervisor immediate access to all information relating to state budget outlooks.</w:t>
      </w:r>
    </w:p>
    <w:p>
      <w:pPr>
        <w:spacing w:before="0" w:after="0" w:line="408" w:lineRule="exact"/>
        <w:ind w:left="0" w:right="0" w:firstLine="576"/>
        <w:jc w:val="left"/>
      </w:pPr>
      <w:r>
        <w:rPr/>
        <w:t xml:space="preserve">(7) The state budget outlook work group must publish its proposed methodology on the economic and revenue forecast council web site. The state budget outlook work group, in consultation with the economic and revenue forecast work group and outside experts if necessary, must analyze the extent to which the proposed methodology for projecting expenditures for the ensuing fiscal biennia may be reliably used to determine the future impact of appropriations and make recommendations to change the outlook process to increase reliability and accuracy. The recommendations are due by December 1, 2013, and every five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2016.</w:t>
      </w:r>
    </w:p>
    <w:p/>
    <w:p>
      <w:pPr>
        <w:jc w:val="center"/>
      </w:pPr>
      <w:r>
        <w:rPr>
          <w:b/>
        </w:rPr>
        <w:t>--- END ---</w:t>
      </w:r>
    </w:p>
    <w:sectPr>
      <w:pgNumType w:start="1"/>
      <w:footerReference xmlns:r="http://schemas.openxmlformats.org/officeDocument/2006/relationships" r:id="Rf581425ce72f4c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e956363a942a1" /><Relationship Type="http://schemas.openxmlformats.org/officeDocument/2006/relationships/footer" Target="/word/footer.xml" Id="Rf581425ce72f4c0f" /></Relationships>
</file>