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1cd5ed4f5949da" /></Relationships>
</file>

<file path=word/document.xml><?xml version="1.0" encoding="utf-8"?>
<w:document xmlns:w="http://schemas.openxmlformats.org/wordprocessingml/2006/main">
  <w:body>
    <w:p>
      <w:r>
        <w:t>H-3565.1</w:t>
      </w:r>
    </w:p>
    <w:p>
      <w:pPr>
        <w:jc w:val="center"/>
      </w:pPr>
      <w:r>
        <w:t>_______________________________________________</w:t>
      </w:r>
    </w:p>
    <w:p/>
    <w:p>
      <w:pPr>
        <w:jc w:val="center"/>
      </w:pPr>
      <w:r>
        <w:rPr>
          <w:b/>
        </w:rPr>
        <w:t>HOUSE BILL 2652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Schmick, Clibborn, and Frame</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health care declarations; amending RCW 70.122.130; and adding a new section to chapter 46.20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w:t>
      </w:r>
      <w:r>
        <w:t>((</w:t>
      </w:r>
      <w:r>
        <w:rPr>
          <w:strike/>
        </w:rPr>
        <w:t xml:space="preserve">and maintain</w:t>
      </w:r>
      <w:r>
        <w:t>))</w:t>
      </w:r>
      <w:r>
        <w:rPr/>
        <w:t xml:space="preserve"> a statewide health care declarations registry containing the health care declarations identified in subsection (2) of this section as submitted by residents of Washington. </w:t>
      </w:r>
      <w:r>
        <w:rPr>
          <w:u w:val="single"/>
        </w:rPr>
        <w:t xml:space="preserve">The department shall contract with an entity, which may be a private organization or another state that operates a similar registry, to coordinate and manage the registry in compliance with the standards identified in this section.</w:t>
      </w:r>
      <w:r>
        <w:rPr/>
        <w:t xml:space="preserve"> The </w:t>
      </w:r>
      <w:r>
        <w:t>((</w:t>
      </w:r>
      <w:r>
        <w:rPr>
          <w:strike/>
        </w:rPr>
        <w:t xml:space="preserve">department</w:t>
      </w:r>
      <w:r>
        <w:t>))</w:t>
      </w:r>
      <w:r>
        <w:rPr/>
        <w:t xml:space="preserve"> </w:t>
      </w:r>
      <w:r>
        <w:rPr>
          <w:u w:val="single"/>
        </w:rPr>
        <w:t xml:space="preserve">entity</w:t>
      </w:r>
      <w:r>
        <w:rPr/>
        <w:t xml:space="preserve"> shall digitally reproduce and store health care declarations in the registry. The </w:t>
      </w:r>
      <w:r>
        <w:t>((</w:t>
      </w:r>
      <w:r>
        <w:rPr>
          <w:strike/>
        </w:rPr>
        <w:t xml:space="preserve">department</w:t>
      </w:r>
      <w:r>
        <w:t>))</w:t>
      </w:r>
      <w:r>
        <w:rPr/>
        <w:t xml:space="preserve"> </w:t>
      </w:r>
      <w:r>
        <w:rPr>
          <w:u w:val="single"/>
        </w:rPr>
        <w:t xml:space="preserve">entity</w:t>
      </w:r>
      <w:r>
        <w:rPr/>
        <w:t xml:space="preserve">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w:t>
      </w:r>
      <w:r>
        <w:t>((</w:t>
      </w:r>
      <w:r>
        <w:rPr>
          <w:strike/>
        </w:rPr>
        <w:t xml:space="preserve">The department may contract with an organization that meets the standards identified in this section.</w:t>
      </w:r>
      <w:r>
        <w:t>))</w:t>
      </w:r>
    </w:p>
    <w:p>
      <w:pPr>
        <w:spacing w:before="0" w:after="0" w:line="408" w:lineRule="exact"/>
        <w:ind w:left="0" w:right="0" w:firstLine="576"/>
        <w:jc w:val="left"/>
      </w:pPr>
      <w:r>
        <w:rPr/>
        <w:t xml:space="preserve">(2)(a) An individual may submit any of the following health care declarations to the </w:t>
      </w:r>
      <w:r>
        <w:t>((</w:t>
      </w:r>
      <w:r>
        <w:rPr>
          <w:strike/>
        </w:rPr>
        <w:t xml:space="preserve">department of health</w:t>
      </w:r>
      <w:r>
        <w:t>))</w:t>
      </w:r>
      <w:r>
        <w:rPr/>
        <w:t xml:space="preserve"> </w:t>
      </w:r>
      <w:r>
        <w:rPr>
          <w:u w:val="single"/>
        </w:rPr>
        <w:t xml:space="preserve">entity</w:t>
      </w:r>
      <w:r>
        <w:rPr/>
        <w:t xml:space="preserve">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11.94 RCW;</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w:t>
      </w:r>
      <w:r>
        <w:t>((</w:t>
      </w:r>
      <w:r>
        <w:rPr>
          <w:strike/>
        </w:rPr>
        <w:t xml:space="preserve">department of health</w:t>
      </w:r>
      <w:r>
        <w:t>))</w:t>
      </w:r>
      <w:r>
        <w:rPr/>
        <w:t xml:space="preserve"> </w:t>
      </w:r>
      <w:r>
        <w:rPr>
          <w:u w:val="single"/>
        </w:rPr>
        <w:t xml:space="preserve">entity</w:t>
      </w:r>
      <w:r>
        <w:rPr/>
        <w:t xml:space="preserve"> does not affect the validity of the declaration.</w:t>
      </w:r>
    </w:p>
    <w:p>
      <w:pPr>
        <w:spacing w:before="0" w:after="0" w:line="408" w:lineRule="exact"/>
        <w:ind w:left="0" w:right="0" w:firstLine="576"/>
        <w:jc w:val="left"/>
      </w:pPr>
      <w:r>
        <w:rPr/>
        <w:t xml:space="preserve">(c) Failure to notify the </w:t>
      </w:r>
      <w:r>
        <w:t>((</w:t>
      </w:r>
      <w:r>
        <w:rPr>
          <w:strike/>
        </w:rPr>
        <w:t xml:space="preserve">department of health</w:t>
      </w:r>
      <w:r>
        <w:t>))</w:t>
      </w:r>
      <w:r>
        <w:rPr/>
        <w:t xml:space="preserve"> </w:t>
      </w:r>
      <w:r>
        <w:rPr>
          <w:u w:val="single"/>
        </w:rPr>
        <w:t xml:space="preserve">entity</w:t>
      </w:r>
      <w:r>
        <w:rPr/>
        <w:t xml:space="preserve">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w:t>
      </w:r>
      <w:r>
        <w:rPr>
          <w:u w:val="single"/>
        </w:rPr>
        <w:t xml:space="preserve">entity, in consultation with the</w:t>
      </w:r>
      <w:r>
        <w:rPr/>
        <w:t xml:space="preserve"> department of health</w:t>
      </w:r>
      <w:r>
        <w:rPr>
          <w:u w:val="single"/>
        </w:rPr>
        <w:t xml:space="preserve">,</w:t>
      </w:r>
      <w:r>
        <w:rPr/>
        <w:t xml:space="preserve">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w:t>
      </w:r>
      <w:r>
        <w:t>((</w:t>
      </w:r>
      <w:r>
        <w:rPr>
          <w:strike/>
        </w:rPr>
        <w:t xml:space="preserve">department of health</w:t>
      </w:r>
      <w:r>
        <w:t>))</w:t>
      </w:r>
      <w:r>
        <w:rPr/>
        <w:t xml:space="preserve"> </w:t>
      </w:r>
      <w:r>
        <w:rPr>
          <w:u w:val="single"/>
        </w:rPr>
        <w:t xml:space="preserve">entity</w:t>
      </w:r>
      <w:r>
        <w:rPr/>
        <w:t xml:space="preserve">;</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w:t>
      </w:r>
      <w:r>
        <w:t>((</w:t>
      </w:r>
      <w:r>
        <w:rPr>
          <w:strike/>
        </w:rPr>
        <w:t xml:space="preserve">department of health</w:t>
      </w:r>
      <w:r>
        <w:t>))</w:t>
      </w:r>
      <w:r>
        <w:rPr/>
        <w:t xml:space="preserve"> </w:t>
      </w:r>
      <w:r>
        <w:rPr>
          <w:u w:val="single"/>
        </w:rPr>
        <w:t xml:space="preserve">entity</w:t>
      </w:r>
      <w:r>
        <w:rPr/>
        <w:t xml:space="preserve"> shall ensure compliance with state and federal requirements related to patient confidentiality.</w:t>
      </w:r>
    </w:p>
    <w:p>
      <w:pPr>
        <w:spacing w:before="0" w:after="0" w:line="408" w:lineRule="exact"/>
        <w:ind w:left="0" w:right="0" w:firstLine="576"/>
        <w:jc w:val="left"/>
      </w:pPr>
      <w:r>
        <w:rPr/>
        <w:t xml:space="preserve">(6) The </w:t>
      </w:r>
      <w:r>
        <w:t>((</w:t>
      </w:r>
      <w:r>
        <w:rPr>
          <w:strike/>
        </w:rPr>
        <w:t xml:space="preserve">department</w:t>
      </w:r>
      <w:r>
        <w:t>))</w:t>
      </w:r>
      <w:r>
        <w:rPr/>
        <w:t xml:space="preserve"> </w:t>
      </w:r>
      <w:r>
        <w:rPr>
          <w:u w:val="single"/>
        </w:rPr>
        <w:t xml:space="preserve">entity</w:t>
      </w:r>
      <w:r>
        <w:rPr/>
        <w:t xml:space="preserve">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w:t>
      </w:r>
      <w:r>
        <w:rPr>
          <w:u w:val="single"/>
        </w:rPr>
        <w:t xml:space="preserve">its</w:t>
      </w:r>
      <w:r>
        <w:rPr/>
        <w:t xml:space="preserve"> activities </w:t>
      </w:r>
      <w:r>
        <w:rPr>
          <w:u w:val="single"/>
        </w:rPr>
        <w:t xml:space="preserve">and the activities of the entity</w:t>
      </w:r>
      <w:r>
        <w:rPr/>
        <w:t xml:space="preserve">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w:t>
      </w:r>
      <w:r>
        <w:t>((</w:t>
      </w:r>
      <w:r>
        <w:rPr>
          <w:strike/>
        </w:rPr>
        <w:t xml:space="preserve">2008</w:t>
      </w:r>
      <w:r>
        <w:t>))</w:t>
      </w:r>
      <w:r>
        <w:rPr/>
        <w:t xml:space="preserve"> </w:t>
      </w:r>
      <w:r>
        <w:rPr>
          <w:u w:val="single"/>
        </w:rPr>
        <w:t xml:space="preserve">2018</w:t>
      </w:r>
      <w:r>
        <w:rPr/>
        <w:t xml:space="preserve">, the department shall report to the house and senate committees on health care the following information:</w:t>
      </w:r>
    </w:p>
    <w:p>
      <w:pPr>
        <w:spacing w:before="0" w:after="0" w:line="408" w:lineRule="exact"/>
        <w:ind w:left="0" w:right="0" w:firstLine="576"/>
        <w:jc w:val="left"/>
      </w:pPr>
      <w:r>
        <w:rPr/>
        <w:t xml:space="preserve">(a) </w:t>
      </w:r>
      <w:r>
        <w:rPr>
          <w:u w:val="single"/>
        </w:rPr>
        <w:t xml:space="preserve">The identity and qualifications of the entity selected to coordinate and manage the registry;</w:t>
      </w:r>
    </w:p>
    <w:p>
      <w:pPr>
        <w:spacing w:before="0" w:after="0" w:line="408" w:lineRule="exact"/>
        <w:ind w:left="0" w:right="0" w:firstLine="576"/>
        <w:jc w:val="left"/>
      </w:pPr>
      <w:r>
        <w:rPr>
          <w:u w:val="single"/>
        </w:rPr>
        <w:t xml:space="preserve">(b)</w:t>
      </w:r>
      <w:r>
        <w:rPr/>
        <w:t xml:space="preserve"> Number of participants in the registry;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Number of health care declarations submitted by type of declaration as defined in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Number of health care declarations revoked and the method of revocation;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Number of providers and facilities, by type, that have been provided access to the registry;</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Actual costs of operation of the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July 1, 2017, the application form for any new driver's license or identicard or driver's license or identicard renewal must ask the applicant to designate whether the applicant:</w:t>
      </w:r>
    </w:p>
    <w:p>
      <w:pPr>
        <w:spacing w:before="0" w:after="0" w:line="408" w:lineRule="exact"/>
        <w:ind w:left="0" w:right="0" w:firstLine="576"/>
        <w:jc w:val="left"/>
      </w:pPr>
      <w:r>
        <w:rPr/>
        <w:t xml:space="preserve">(a) Has executed a health care declaration listed in RCW 70.122.130(2)(a); and</w:t>
      </w:r>
    </w:p>
    <w:p>
      <w:pPr>
        <w:spacing w:before="0" w:after="0" w:line="408" w:lineRule="exact"/>
        <w:ind w:left="0" w:right="0" w:firstLine="576"/>
        <w:jc w:val="left"/>
      </w:pPr>
      <w:r>
        <w:rPr/>
        <w:t xml:space="preserve">(b) Has executed a health care declaration listed in RCW 70.122.130(2)(a) that is stored in the health care declarations registry established in RCW 70.122.130.</w:t>
      </w:r>
    </w:p>
    <w:p>
      <w:pPr>
        <w:spacing w:before="0" w:after="0" w:line="408" w:lineRule="exact"/>
        <w:ind w:left="0" w:right="0" w:firstLine="576"/>
        <w:jc w:val="left"/>
      </w:pPr>
      <w:r>
        <w:rPr/>
        <w:t xml:space="preserve">(2)(a) When issuing or renewing a driver's license or identicard for a person who has indicated on his or her application that he or she has a health care declaration, the department shall issue an original or renewed driver's license or identicard that denotes the existence of a health care declaration through a symbol or abbreviation.</w:t>
      </w:r>
    </w:p>
    <w:p>
      <w:pPr>
        <w:spacing w:before="0" w:after="0" w:line="408" w:lineRule="exact"/>
        <w:ind w:left="0" w:right="0" w:firstLine="576"/>
        <w:jc w:val="left"/>
      </w:pPr>
      <w:r>
        <w:rPr/>
        <w:t xml:space="preserve">(b) When issuing or renewing a driver's license or identicard for a person who has indicated on his or her application that he or she has a health care declaration that is stored in the health care declarations registry, the department shall issue an original or renewed driver's license or identicard that denotes the existence of a health care declaration through a symbol or abbreviation as well as a code that, when electronically scanned, directs an authorized health care provider or facility to the person's health care declaration in the health care declarations registry.</w:t>
      </w:r>
    </w:p>
    <w:p>
      <w:pPr>
        <w:spacing w:before="0" w:after="0" w:line="408" w:lineRule="exact"/>
        <w:ind w:left="0" w:right="0" w:firstLine="576"/>
        <w:jc w:val="left"/>
      </w:pPr>
      <w:r>
        <w:rPr/>
        <w:t xml:space="preserve">(3) Specific medical treatment must not be imprinted on a driver's license or identicard issued under this section.</w:t>
      </w:r>
    </w:p>
    <w:p/>
    <w:p>
      <w:pPr>
        <w:jc w:val="center"/>
      </w:pPr>
      <w:r>
        <w:rPr>
          <w:b/>
        </w:rPr>
        <w:t>--- END ---</w:t>
      </w:r>
    </w:p>
    <w:sectPr>
      <w:pgNumType w:start="1"/>
      <w:footerReference xmlns:r="http://schemas.openxmlformats.org/officeDocument/2006/relationships" r:id="R2efe1b1714cf4c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5ed4165cb455d" /><Relationship Type="http://schemas.openxmlformats.org/officeDocument/2006/relationships/footer" Target="/word/footer.xml" Id="R2efe1b1714cf4cc6" /></Relationships>
</file>