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33d6e17fc4e3b" /></Relationships>
</file>

<file path=word/document.xml><?xml version="1.0" encoding="utf-8"?>
<w:document xmlns:w="http://schemas.openxmlformats.org/wordprocessingml/2006/main">
  <w:body>
    <w:p>
      <w:r>
        <w:t>Z-0666.1</w:t>
      </w:r>
    </w:p>
    <w:p>
      <w:pPr>
        <w:jc w:val="center"/>
      </w:pPr>
      <w:r>
        <w:t>_______________________________________________</w:t>
      </w:r>
    </w:p>
    <w:p/>
    <w:p>
      <w:pPr>
        <w:jc w:val="center"/>
      </w:pPr>
      <w:r>
        <w:rPr>
          <w:b/>
        </w:rPr>
        <w:t>HOUSE BILL 2651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Rossetti and Orcutt; by request of Department of Transportation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maximum gross weight values; and amending RCW 46.44.041.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041</w:t>
      </w:r>
      <w:r>
        <w:rPr/>
        <w:t xml:space="preserve"> and 1997 c 198 s 1 are each amended to read as follows:</w:t>
      </w:r>
    </w:p>
    <w:p>
      <w:pPr>
        <w:spacing w:before="0" w:after="0" w:line="408" w:lineRule="exact"/>
        <w:ind w:left="0" w:right="0" w:firstLine="576"/>
        <w:jc w:val="left"/>
      </w:pPr>
      <w:r>
        <w:rPr/>
        <w:t xml:space="preserve">No vehicle or combination of vehicles shall operate upon the public highways of this state with a gross load on any single axle in excess of twenty thousand pounds, or upon any group of axles in excess of that set forth in the following table, except that two consecutive sets of tandem axles may carry a gross load of thirty-four thousand pounds each, if the overall distance between the first and last axles of such consecutive sets of tandem axles is thirty-six feet or more.</w:t>
      </w:r>
    </w:p>
    <w:p>
      <w:pPr>
        <w:spacing w:before="0" w:after="120" w:line="408" w:lineRule="exact"/>
        <w:ind w:left="0" w:right="0" w:firstLine="576"/>
        <w:jc w:val="left"/>
      </w:pPr>
      <w:r>
        <w:rPr>
          <w:u w:val="single"/>
        </w:rPr>
        <w:t xml:space="preserve">The following table is based on the following formula:
W = 500((LN/N-1)+12N+36). W is the maximum weight in pounds (to the nearest 500 pounds) carried on any group of two (2) or more consecutive axles. L is the distance in feet between the extremes of any group of two (2) or more consecutive axles. N is the number of axles under consideration.</w:t>
      </w:r>
    </w:p>
    <w:tbl>
      <w:tblPr>
        <w:tblW w:w="0" w:type="auto"/>
        <w:jc w:val="center"/>
        <w:tcMar>
          <w:tblCellMar>
            <w:top w:w="0" w:type="dxa"/>
            <w:bottom w:w="0" w:type="dxa"/>
          </w:tblCellMar>
        </w:tcMar>
        <w:tcMar>
          <w:tblCellMar>
            <w:left w:w="0" w:type="dxa"/>
            <w:right w:w="0" w:type="dxa"/>
          </w:tblCellMar>
        </w:tcMar>
      </w:tblPr>
      <w:tblGrid>
        <w:gridCol w:w="180"/>
        <w:gridCol w:w="740"/>
        <w:gridCol w:w="440"/>
        <w:gridCol w:w="440"/>
        <w:gridCol w:w="460"/>
        <w:gridCol w:w="460"/>
        <w:gridCol w:w="120"/>
        <w:gridCol w:w="440"/>
        <w:gridCol w:w="120"/>
        <w:gridCol w:w="400"/>
        <w:gridCol w:w="120"/>
        <w:gridCol w:w="380"/>
        <w:gridCol w:w="120"/>
        <w:gridCol w:w="440"/>
      </w:tblGrid>
      <w:tr>
        <w:tc>
          <w:tcPr>
            <w:gridSpan w:val="2"/>
            <w:tcW w:w="920" w:type="dxa"/>
            <w:vAlign w:val="bottom"/>
          </w:tcPr>
          <w:p>
            <w:pPr>
              <w:spacing w:before="0" w:after="0" w:line="408" w:lineRule="exact"/>
              <w:ind w:left="0" w:right="0" w:firstLine="0"/>
              <w:jc w:val="left"/>
            </w:pPr>
            <w:r>
              <w:rPr>
                <w:rFonts w:ascii="Times New Roman" w:hAnsi="Times New Roman"/>
                <w:sz w:val="14"/>
              </w:rPr>
              <w:t xml:space="preserve">Distance in feet between the extremes of any group of 2 or more consecutive axles</w:t>
            </w:r>
          </w:p>
        </w:tc>
        <w:tc>
          <w:tcPr>
            <w:tcW w:w="440" w:type="dxa"/>
            <w:vAlign w:val="top"/>
          </w:tcPr>
          <w:p>
            <w:pPr>
              <w:spacing w:before="0" w:after="0" w:line="408" w:lineRule="exact"/>
              <w:ind w:left="0" w:right="0" w:firstLine="0"/>
              <w:jc w:val="left"/>
            </w:pPr>
          </w:p>
        </w:tc>
        <w:tc>
          <w:tcPr>
            <w:gridSpan w:val="5"/>
            <w:tcW w:w="1920" w:type="dxa"/>
            <w:vAlign w:val="top"/>
          </w:tcPr>
          <w:p>
            <w:pPr>
              <w:spacing w:before="0" w:after="0" w:line="408" w:lineRule="exact"/>
              <w:ind w:left="0" w:right="0" w:firstLine="0"/>
              <w:jc w:val="left"/>
            </w:pPr>
            <w:r>
              <w:rPr>
                <w:rFonts w:ascii="Times New Roman" w:hAnsi="Times New Roman"/>
                <w:sz w:val="14"/>
              </w:rPr>
              <w:t xml:space="preserve">Maximum load in pounds carried on any group of 2 or more consecutive axles</w:t>
            </w:r>
          </w:p>
        </w:tc>
        <w:tc>
          <w:tcPr>
            <w:gridSpan w:val="6"/>
            <w:tcW w:w="1580" w:type="dxa"/>
            <w:vAlign w:val="top"/>
          </w:tcPr>
          <w:p>
            <w:pPr>
              <w:spacing w:before="0" w:after="0" w:line="408" w:lineRule="exact"/>
              <w:ind w:left="0" w:right="0" w:firstLine="0"/>
              <w:jc w:val="center"/>
            </w:pPr>
          </w:p>
        </w:tc>
      </w:tr>
      <w:tr>
        <w:tc>
          <w:p/>
        </w:tc>
        <w:tc>
          <w:p/>
        </w:tc>
        <w:tc>
          <w:tcPr>
            <w:gridSpan w:val="12"/>
            <w:tcW w:w="4300" w:type="dxa"/>
            <w:vAlign w:val="top"/>
            <w:tcBorders>
              <w:bottom w:val="single"/>
            </w:tcBorders>
          </w:tcPr>
          <w:p>
            <w:pPr>
              <w:spacing w:before="0" w:after="0" w:line="408" w:lineRule="exact"/>
              <w:ind w:left="0" w:right="0" w:firstLine="0"/>
              <w:jc w:val="center"/>
            </w:pP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2</w:t>
            </w:r>
          </w:p>
        </w:tc>
        <w:tc>
          <w:tcPr>
            <w:tcW w:w="740" w:type="dxa"/>
            <w:vAlign w:val="top"/>
          </w:tcPr>
          <w:p>
            <w:pPr>
              <w:spacing w:before="0" w:after="0" w:line="408" w:lineRule="exact"/>
              <w:ind w:left="0" w:right="0" w:firstLine="0"/>
              <w:jc w:val="center"/>
            </w:pPr>
            <w:r>
              <w:rPr>
                <w:rFonts w:ascii="Times New Roman" w:hAnsi="Times New Roman"/>
                <w:sz w:val="14"/>
              </w:rPr>
              <w:t xml:space="preserve">3</w:t>
            </w:r>
          </w:p>
        </w:tc>
        <w:tc>
          <w:tcPr>
            <w:tcW w:w="440" w:type="dxa"/>
            <w:vAlign w:val="top"/>
          </w:tcPr>
          <w:p>
            <w:pPr>
              <w:spacing w:before="0" w:after="0" w:line="408" w:lineRule="exact"/>
              <w:ind w:left="0" w:right="0" w:firstLine="0"/>
              <w:jc w:val="center"/>
            </w:pPr>
            <w:r>
              <w:rPr>
                <w:rFonts w:ascii="Times New Roman" w:hAnsi="Times New Roman"/>
                <w:sz w:val="14"/>
              </w:rPr>
              <w:t xml:space="preserve">4</w:t>
            </w:r>
          </w:p>
        </w:tc>
        <w:tc>
          <w:tcPr>
            <w:tcW w:w="440" w:type="dxa"/>
            <w:vAlign w:val="top"/>
          </w:tcPr>
          <w:p>
            <w:pPr>
              <w:spacing w:before="0" w:after="0" w:line="408" w:lineRule="exact"/>
              <w:ind w:left="0" w:right="0" w:firstLine="0"/>
              <w:jc w:val="center"/>
            </w:pPr>
            <w:r>
              <w:rPr>
                <w:rFonts w:ascii="Times New Roman" w:hAnsi="Times New Roman"/>
                <w:sz w:val="14"/>
              </w:rPr>
              <w:t xml:space="preserve">5</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6</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7</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8</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9</w:t>
            </w: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axles</w:t>
            </w:r>
          </w:p>
        </w:tc>
        <w:tc>
          <w:tcPr>
            <w:tcW w:w="7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axles</w:t>
            </w:r>
          </w:p>
        </w:tc>
      </w:tr>
      <w:tr>
        <w:tc>
          <w:tcPr>
            <w:gridSpan w:val="2"/>
            <w:tcW w:w="92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 &amp; less</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more than 8</w:t>
            </w:r>
          </w:p>
        </w:tc>
        <w:tc>
          <w:tcPr>
            <w:tcW w:w="440" w:type="dxa"/>
            <w:vAlign w:val="top"/>
          </w:tcPr>
          <w:p>
            <w:pPr>
              <w:spacing w:before="0" w:after="0" w:line="408" w:lineRule="exact"/>
              <w:ind w:left="0" w:right="0" w:firstLine="0"/>
              <w:jc w:val="right"/>
            </w:pPr>
            <w:r>
              <w:rPr>
                <w:rFonts w:ascii="Times New Roman" w:hAnsi="Times New Roman"/>
                <w:sz w:val="14"/>
              </w:rPr>
              <w:t xml:space="preserve">38,000</w:t>
            </w:r>
          </w:p>
        </w:tc>
        <w:tc>
          <w:tcPr>
            <w:tcW w:w="440" w:type="dxa"/>
            <w:vAlign w:val="top"/>
          </w:tcPr>
          <w:p>
            <w:pPr>
              <w:spacing w:before="0" w:after="0" w:line="408" w:lineRule="exact"/>
              <w:ind w:left="0" w:right="0" w:firstLine="0"/>
              <w:jc w:val="right"/>
            </w:pPr>
            <w:r>
              <w:rPr>
                <w:rFonts w:ascii="Times New Roman" w:hAnsi="Times New Roman"/>
                <w:sz w:val="14"/>
              </w:rPr>
              <w:t xml:space="preserve">42,000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9</w:t>
            </w:r>
          </w:p>
        </w:tc>
        <w:tc>
          <w:tcPr>
            <w:tcW w:w="440" w:type="dxa"/>
            <w:vAlign w:val="top"/>
          </w:tcPr>
          <w:p>
            <w:pPr>
              <w:spacing w:before="0" w:after="0" w:line="408" w:lineRule="exact"/>
              <w:ind w:left="0" w:right="0" w:firstLine="0"/>
              <w:jc w:val="right"/>
            </w:pPr>
            <w:r>
              <w:rPr>
                <w:rFonts w:ascii="Times New Roman" w:hAnsi="Times New Roman"/>
                <w:sz w:val="14"/>
              </w:rPr>
              <w:t xml:space="preserve">39,000</w:t>
            </w:r>
          </w:p>
        </w:tc>
        <w:tc>
          <w:tcPr>
            <w:tcW w:w="440" w:type="dxa"/>
            <w:vAlign w:val="top"/>
          </w:tcPr>
          <w:p>
            <w:pPr>
              <w:spacing w:before="0" w:after="0" w:line="408" w:lineRule="exact"/>
              <w:ind w:left="0" w:right="0" w:firstLine="0"/>
              <w:jc w:val="right"/>
            </w:pPr>
            <w:r>
              <w:rPr>
                <w:rFonts w:ascii="Times New Roman" w:hAnsi="Times New Roman"/>
                <w:sz w:val="14"/>
              </w:rPr>
              <w:t xml:space="preserve">42,500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10</w:t>
            </w:r>
          </w:p>
        </w:tc>
        <w:tc>
          <w:tcPr>
            <w:tcW w:w="440" w:type="dxa"/>
            <w:vAlign w:val="top"/>
          </w:tcPr>
          <w:p>
            <w:pPr>
              <w:spacing w:before="0" w:after="0" w:line="408" w:lineRule="exact"/>
              <w:ind w:left="0" w:right="0" w:firstLine="0"/>
              <w:jc w:val="right"/>
            </w:pPr>
            <w:r>
              <w:rPr>
                <w:rFonts w:ascii="Times New Roman" w:hAnsi="Times New Roman"/>
                <w:sz w:val="14"/>
              </w:rPr>
              <w:t xml:space="preserve">40,000</w:t>
            </w:r>
          </w:p>
        </w:tc>
        <w:tc>
          <w:tcPr>
            <w:tcW w:w="440" w:type="dxa"/>
            <w:vAlign w:val="top"/>
          </w:tcPr>
          <w:p>
            <w:pPr>
              <w:spacing w:before="0" w:after="0" w:line="408" w:lineRule="exact"/>
              <w:ind w:left="0" w:right="0" w:firstLine="0"/>
              <w:jc w:val="right"/>
            </w:pPr>
            <w:r>
              <w:rPr>
                <w:rFonts w:ascii="Times New Roman" w:hAnsi="Times New Roman"/>
                <w:sz w:val="14"/>
              </w:rPr>
              <w:t xml:space="preserve">43,500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44,000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49,000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45,000</w:t>
            </w:r>
          </w:p>
        </w:tc>
        <w:tc>
          <w:tcPr>
            <w:tcW w:w="46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45,500</w:t>
            </w:r>
          </w:p>
        </w:tc>
        <w:tc>
          <w:tcPr>
            <w:tcW w:w="460" w:type="dxa"/>
            <w:vAlign w:val="top"/>
          </w:tcPr>
          <w:p>
            <w:pPr>
              <w:spacing w:before="0" w:after="0" w:line="408" w:lineRule="exact"/>
              <w:ind w:left="0" w:right="0" w:firstLine="0"/>
              <w:jc w:val="right"/>
            </w:pPr>
            <w:r>
              <w:rPr>
                <w:rFonts w:ascii="Times New Roman" w:hAnsi="Times New Roman"/>
                <w:sz w:val="14"/>
              </w:rPr>
              <w:t xml:space="preserve">50,500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46,500</w:t>
            </w:r>
          </w:p>
        </w:tc>
        <w:tc>
          <w:tcPr>
            <w:tcW w:w="46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56,500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47,000</w:t>
            </w:r>
          </w:p>
        </w:tc>
        <w:tc>
          <w:tcPr>
            <w:tcW w:w="460" w:type="dxa"/>
            <w:vAlign w:val="top"/>
          </w:tcPr>
          <w:p>
            <w:pPr>
              <w:spacing w:before="0" w:after="0" w:line="408" w:lineRule="exact"/>
              <w:ind w:left="0" w:right="0" w:firstLine="0"/>
              <w:jc w:val="right"/>
            </w:pPr>
            <w:r>
              <w:rPr>
                <w:rFonts w:ascii="Times New Roman" w:hAnsi="Times New Roman"/>
                <w:sz w:val="14"/>
              </w:rPr>
              <w:t xml:space="preserve">52,000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57,000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48,000</w:t>
            </w:r>
          </w:p>
        </w:tc>
        <w:tc>
          <w:tcPr>
            <w:tcW w:w="46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48,500</w:t>
            </w:r>
          </w:p>
        </w:tc>
        <w:tc>
          <w:tcPr>
            <w:tcW w:w="460" w:type="dxa"/>
            <w:vAlign w:val="top"/>
          </w:tcPr>
          <w:p>
            <w:pPr>
              <w:spacing w:before="0" w:after="0" w:line="408" w:lineRule="exact"/>
              <w:ind w:left="0" w:right="0" w:firstLine="0"/>
              <w:jc w:val="right"/>
            </w:pPr>
            <w:r>
              <w:rPr>
                <w:rFonts w:ascii="Times New Roman" w:hAnsi="Times New Roman"/>
                <w:sz w:val="14"/>
              </w:rPr>
              <w:t xml:space="preserve">53,500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49,500</w:t>
            </w:r>
          </w:p>
        </w:tc>
        <w:tc>
          <w:tcPr>
            <w:tcW w:w="46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59,000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64,500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65,000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51,000</w:t>
            </w:r>
          </w:p>
        </w:tc>
        <w:tc>
          <w:tcPr>
            <w:tcW w:w="46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72,000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56,500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67,000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72,500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53,000</w:t>
            </w:r>
          </w:p>
        </w:tc>
        <w:tc>
          <w:tcPr>
            <w:tcW w:w="46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73,000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tcW w:w="460" w:type="dxa"/>
            <w:vAlign w:val="top"/>
          </w:tcPr>
          <w:p>
            <w:pPr>
              <w:spacing w:before="0" w:after="0" w:line="408" w:lineRule="exact"/>
              <w:ind w:left="0" w:right="0" w:firstLine="0"/>
              <w:jc w:val="right"/>
            </w:pPr>
            <w:r>
              <w:rPr>
                <w:rFonts w:ascii="Times New Roman" w:hAnsi="Times New Roman"/>
                <w:sz w:val="14"/>
              </w:rPr>
              <w:t xml:space="preserve">63,000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80,000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59,500</w:t>
            </w: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80,500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81,000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57,000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62,000</w:t>
            </w: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59,000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64,500</w:t>
            </w:r>
          </w:p>
        </w:tc>
        <w:tc>
          <w:tcPr>
            <w:tcW w:w="4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tcW w:w="4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tcW w:w="4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69,500</w:t>
            </w: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tcW w:w="4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72,000</w:t>
            </w: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74,500</w:t>
            </w: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tcW w:w="4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tcW w:w="4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tcW w:w="4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tcW w:w="4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tcW w:w="46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79,500</w:t>
            </w:r>
          </w:p>
        </w:tc>
        <w:tc>
          <w:tcPr>
            <w:tcW w:w="4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tcW w:w="4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86 or more</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bl>
    <w:p>
      <w:pPr>
        <w:spacing w:before="120" w:after="0" w:line="408" w:lineRule="exact"/>
        <w:ind w:left="0" w:right="0" w:firstLine="0"/>
        <w:jc w:val="left"/>
      </w:pPr>
      <w:r>
        <w:rPr/>
        <w:t xml:space="preserve">When inches are involved: Under six inches take lower, six inches or over take higher. The maximum load on any axle in any group of axles shall not exceed the single axle or tandem axle allowance as set forth in the table above.</w:t>
      </w:r>
    </w:p>
    <w:p>
      <w:pPr>
        <w:spacing w:before="0" w:after="0" w:line="408" w:lineRule="exact"/>
        <w:ind w:left="0" w:right="0" w:firstLine="576"/>
        <w:jc w:val="left"/>
      </w:pPr>
      <w:r>
        <w:rPr/>
        <w:t xml:space="preserve">The maximum axle and gross weights specified in this section are subject to the braking requirements set up for the service brakes upon any motor vehicle or combination of vehicles as provided by law.</w:t>
      </w:r>
    </w:p>
    <w:p>
      <w:pPr>
        <w:spacing w:before="0" w:after="0" w:line="408" w:lineRule="exact"/>
        <w:ind w:left="0" w:right="0" w:firstLine="576"/>
        <w:jc w:val="left"/>
      </w:pPr>
      <w:r>
        <w:rPr/>
        <w:t xml:space="preserve">Loads of not more than eighty thousand pounds which may be legally hauled in the state bordering this state which also has a sales tax, are legal in this state when moving to a port district within four miles of the bordering state except on the interstate system. This provision does not allow the operation of a vehicle combination consisting of a truck tractor and three trailers.</w:t>
      </w:r>
    </w:p>
    <w:p>
      <w:pPr>
        <w:spacing w:before="0" w:after="0" w:line="408" w:lineRule="exact"/>
        <w:ind w:left="0" w:right="0" w:firstLine="576"/>
        <w:jc w:val="left"/>
      </w:pPr>
      <w:r>
        <w:rPr/>
        <w:t xml:space="preserve">Notwithstanding anything contained herein, a vehicle or combination of vehicles in operation on January 4, 1975, may operate upon the public highways of this state, including the interstate system within the meaning of section 127 of Title 23, United States Code, with an overall gross weight upon a group of two consecutive sets of dual axles which was lawful in this state under the laws, regulations, and procedures in effect in this state on January 4, 1975.</w:t>
      </w:r>
    </w:p>
    <w:p/>
    <w:p>
      <w:pPr>
        <w:jc w:val="center"/>
      </w:pPr>
      <w:r>
        <w:rPr>
          <w:b/>
        </w:rPr>
        <w:t>--- END ---</w:t>
      </w:r>
    </w:p>
    <w:sectPr>
      <w:pgNumType w:start="1"/>
      <w:footerReference xmlns:r="http://schemas.openxmlformats.org/officeDocument/2006/relationships" r:id="Rfe4c3386f04845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e7970cd97942b9" /><Relationship Type="http://schemas.openxmlformats.org/officeDocument/2006/relationships/footer" Target="/word/footer.xml" Id="Rfe4c3386f048458d" /></Relationships>
</file>