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33cb36a9fd4f7d" /></Relationships>
</file>

<file path=word/document.xml><?xml version="1.0" encoding="utf-8"?>
<w:document xmlns:w="http://schemas.openxmlformats.org/wordprocessingml/2006/main">
  <w:body>
    <w:p>
      <w:r>
        <w:t>Z-0663.2</w:t>
      </w:r>
    </w:p>
    <w:p>
      <w:pPr>
        <w:jc w:val="center"/>
      </w:pPr>
      <w:r>
        <w:t>_______________________________________________</w:t>
      </w:r>
    </w:p>
    <w:p/>
    <w:p>
      <w:pPr>
        <w:jc w:val="center"/>
      </w:pPr>
      <w:r>
        <w:rPr>
          <w:b/>
        </w:rPr>
        <w:t>HOUSE BILL 2623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Werven, Bergquist, Holy, and Muri; by request of Secretary of State</w:t>
      </w:r>
    </w:p>
    <w:p/>
    <w:p>
      <w:r>
        <w:rPr>
          <w:t xml:space="preserve">Read first time 01/18/16.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recounts of statewide advisory measures; and amending RCW 29A.64.090.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2013 c 11 s 70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recount of all votes cast on such measure be made on such measure, in the manner provided by RCW 29A.64.041 and 29A.64.061, and the cost of such recount will be at state expense. </w:t>
      </w:r>
      <w:r>
        <w:rPr>
          <w:u w:val="single"/>
        </w:rPr>
        <w:t xml:space="preserve">This section does not apply to any statewide advisory vote of the people that was placed on the ballot pursuant to RCW 43.135.041 and the secretary of state shall not direct any recount for any statewide advisory vote of the people.</w:t>
      </w:r>
    </w:p>
    <w:p/>
    <w:p>
      <w:pPr>
        <w:jc w:val="center"/>
      </w:pPr>
      <w:r>
        <w:rPr>
          <w:b/>
        </w:rPr>
        <w:t>--- END ---</w:t>
      </w:r>
    </w:p>
    <w:sectPr>
      <w:pgNumType w:start="1"/>
      <w:footerReference xmlns:r="http://schemas.openxmlformats.org/officeDocument/2006/relationships" r:id="Rb6eb4b5824474d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f56cf0d5fc48aa" /><Relationship Type="http://schemas.openxmlformats.org/officeDocument/2006/relationships/footer" Target="/word/footer.xml" Id="Rb6eb4b5824474d1f" /></Relationships>
</file>