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75dee408c646b9" /></Relationships>
</file>

<file path=word/document.xml><?xml version="1.0" encoding="utf-8"?>
<w:document xmlns:w="http://schemas.openxmlformats.org/wordprocessingml/2006/main">
  <w:body>
    <w:p>
      <w:r>
        <w:t>H-3616.1</w:t>
      </w:r>
    </w:p>
    <w:p>
      <w:pPr>
        <w:jc w:val="center"/>
      </w:pPr>
      <w:r>
        <w:t>_______________________________________________</w:t>
      </w:r>
    </w:p>
    <w:p/>
    <w:p>
      <w:pPr>
        <w:jc w:val="center"/>
      </w:pPr>
      <w:r>
        <w:rPr>
          <w:b/>
        </w:rPr>
        <w:t>HOUSE BILL 2594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MacEwen and Muri</w:t>
      </w:r>
    </w:p>
    <w:p/>
    <w:p>
      <w:r>
        <w:rPr>
          <w:t xml:space="preserve">Read first time 01/15/16.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taxation of amenities owned by homeowners' associations;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2 and 3 of this act.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created in this act as one intended to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 provide permanent tax relief that corrects the structural inefficiencies regarding the taxation of homeowners' association members for the use of amenities which their association owns.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any portion of the charges paid by a member of a homeowners' association for access or admission to any amenity, common area, facility, or other entity operated by the association.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"Homeowners' association" or "association" has the same meaning as provided in RCW 64.38.010. </w:t>
      </w:r>
    </w:p>
    <w:p>
      <w:pPr>
        <w:spacing w:before="0" w:after="0" w:line="408" w:lineRule="exact"/>
        <w:ind w:left="0" w:right="0" w:firstLine="576"/>
        <w:jc w:val="left"/>
      </w:pPr>
      <w:r>
        <w:rPr/>
        <w:t xml:space="preserve">(b) "Member" has the same meaning as provided in RCW 64.38.010.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section do not apply with respect to the portion of the charges paid by a member of a homeowners' association for the use of any amenity, common area, facility, or other entity owned and operated by the homeowners' association.</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apply to the portion of charges paid by members on or after July 1, 2016.</w:t>
      </w:r>
    </w:p>
    <w:p/>
    <w:p>
      <w:pPr>
        <w:jc w:val="center"/>
      </w:pPr>
      <w:r>
        <w:rPr>
          <w:b/>
        </w:rPr>
        <w:t>--- END ---</w:t>
      </w:r>
    </w:p>
    <w:sectPr>
      <w:pgNumType w:start="1"/>
      <w:footerReference xmlns:r="http://schemas.openxmlformats.org/officeDocument/2006/relationships" r:id="R510b990bf12d4e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c9df307f9a4ecd" /><Relationship Type="http://schemas.openxmlformats.org/officeDocument/2006/relationships/footer" Target="/word/footer.xml" Id="R510b990bf12d4ea8" /></Relationships>
</file>