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0354fc9d54ffd" /></Relationships>
</file>

<file path=word/document.xml><?xml version="1.0" encoding="utf-8"?>
<w:document xmlns:w="http://schemas.openxmlformats.org/wordprocessingml/2006/main">
  <w:body>
    <w:p>
      <w:r>
        <w:t>H-3315.3</w:t>
      </w:r>
    </w:p>
    <w:p>
      <w:pPr>
        <w:jc w:val="center"/>
      </w:pPr>
      <w:r>
        <w:t>_______________________________________________</w:t>
      </w:r>
    </w:p>
    <w:p/>
    <w:p>
      <w:pPr>
        <w:jc w:val="center"/>
      </w:pPr>
      <w:r>
        <w:rPr>
          <w:b/>
        </w:rPr>
        <w:t>HOUSE BILL 2567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Clibborn</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certain manifest drafting errors in chapter 44, Laws of 2015 3rd sp. sess. (transportation revenue); amending RCW 46.20.202 and 82.70.040;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third special legislative session of 2015, the legislature passed Second Engrossed Substitute Senate Bill No. 5987 (chapter 44, Laws of 2015 3rd sp. sess.), a significant transportation revenue bill intended to provide needed transportation funding throughout the state. However, since the enactment of that legislation, certain drafting errors were discovered within the bill resulting in some provisions being enacted contrary to legislative intent. Therefore, it is the intent of the legislature to simply correct manifest drafting errors in order to conform certain provisions with the original legislative intent of Second Engrossed Substitute Senate Bill No. 5987. It is not the intent of the legislature to alter the intended substantive policy enacted in Second Engrossed Substitute Senate Bill No. 5987, but rather to make technical changes that correct certain drafting errors.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2015 3rd sp.s. c 44 s 209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w:t>
      </w:r>
      <w:r>
        <w:rPr>
          <w:u w:val="single"/>
        </w:rPr>
        <w:t xml:space="preserve">(a) Between July 15, 2015, and June 30, 2016, the fee for an enhanced driver's license or enhanced identicard is eighteen dollars, which is in addition to the fees for any regular driver's license or identicard. If the enhanced driver's license or enhanced identicard is issued, renewed, or extended for a period other than six years, the fee for each class is three dollars for each year that the enhanced driver's license or enhanced identicard is issued, renewed, or extended.</w:t>
      </w:r>
    </w:p>
    <w:p>
      <w:pPr>
        <w:spacing w:before="0" w:after="0" w:line="408" w:lineRule="exact"/>
        <w:ind w:left="0" w:right="0" w:firstLine="576"/>
        <w:jc w:val="left"/>
      </w:pPr>
      <w:r>
        <w:rPr>
          <w:u w:val="single"/>
        </w:rPr>
        <w:t xml:space="preserve">(b)</w:t>
      </w:r>
      <w:r>
        <w:rPr/>
        <w:t xml:space="preserve"> Beginning July 1, 2016,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3rd sp.s. c 44 s 414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The department must keep a running total of all credits allowed under RCW 82.70.020 during each fiscal year. The department may not allow any credits that would cause the total amount allowed to exceed two million seven hundred fifty thousand dollars in any fiscal year.</w:t>
      </w:r>
    </w:p>
    <w:p>
      <w:pPr>
        <w:spacing w:before="0" w:after="0" w:line="408" w:lineRule="exact"/>
        <w:ind w:left="0" w:right="0" w:firstLine="576"/>
        <w:jc w:val="left"/>
      </w:pPr>
      <w:r>
        <w:t>((</w:t>
      </w:r>
      <w:r>
        <w:rPr>
          <w:strike/>
        </w:rPr>
        <w:t xml:space="preserve">(ii) The department shall not allow any credits that would cause the total amount allowed to exceed one million five hundred thousand dollars in any fiscal year.</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one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2024.</w:t>
      </w:r>
    </w:p>
    <w:p>
      <w:pPr>
        <w:spacing w:before="0" w:after="0" w:line="408" w:lineRule="exact"/>
        <w:ind w:left="0" w:right="0" w:firstLine="576"/>
        <w:jc w:val="left"/>
      </w:pPr>
      <w:r>
        <w:rPr/>
        <w:t xml:space="preserve">(5) No person is eligible for tax credits under RCW 82.70.020 if the additional revenues for the multimodal transportation account created by chapter 361, Laws of 2003 are terminated.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retroactively to July 15,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13997f30a7344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fa9123dce843dc" /><Relationship Type="http://schemas.openxmlformats.org/officeDocument/2006/relationships/footer" Target="/word/footer.xml" Id="R913997f30a7344f6" /></Relationships>
</file>