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fe073da48c4f53" /></Relationships>
</file>

<file path=word/document.xml><?xml version="1.0" encoding="utf-8"?>
<w:document xmlns:w="http://schemas.openxmlformats.org/wordprocessingml/2006/main">
  <w:body>
    <w:p>
      <w:r>
        <w:t>Z-0589.1</w:t>
      </w:r>
    </w:p>
    <w:p>
      <w:pPr>
        <w:jc w:val="center"/>
      </w:pPr>
      <w:r>
        <w:t>_______________________________________________</w:t>
      </w:r>
    </w:p>
    <w:p/>
    <w:p>
      <w:pPr>
        <w:jc w:val="center"/>
      </w:pPr>
      <w:r>
        <w:rPr>
          <w:b/>
        </w:rPr>
        <w:t>HOUSE BILL 2560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Jinkins, and Pollet; by request of Public Disclosure Commission</w:t>
      </w:r>
    </w:p>
    <w:p/>
    <w:p>
      <w:r>
        <w:rPr>
          <w:t xml:space="preserve">Read first time 01/15/16.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surplus campaign funds account reporting requirements; and amending RCW 42.17A.235 and 42.17A.430.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w:t>
      </w:r>
    </w:p>
    <w:p>
      <w:pPr>
        <w:spacing w:before="0" w:after="0" w:line="408" w:lineRule="exact"/>
        <w:ind w:left="0" w:right="0" w:firstLine="576"/>
        <w:jc w:val="left"/>
      </w:pPr>
      <w:r>
        <w:rPr/>
        <w:t xml:space="preserve">(2) Each treasurer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(4)(a) The treasurer or candidate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w:t>
      </w:r>
      <w:r>
        <w:rPr>
          <w:u w:val="single"/>
        </w:rPr>
        <w:t xml:space="preserve">Each treasurer of a surplus funds account authorized by RCW 42.17A.430(7) shall file with the commission a report containing the information required by RCW 42.17A.240 on the tenth of each month only if the expenditures in the preceding calendar month or the total expenditures made since the last report exceed two hundred dollars. The report must report all surplus funds transfers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u w:val="single"/>
        </w:rPr>
        <w:t xml:space="preserve">(7)</w:t>
      </w:r>
      <w:r>
        <w:rPr/>
        <w:t xml:space="preserve">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All reports filed pursuant to subsection (1) or (2) of this section shall be certified as correct by the candidate and the treasurer.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430</w:t>
      </w:r>
      <w:r>
        <w:rPr/>
        <w:t xml:space="preserve"> and 2010 c 204 s 606 are each amended to read as follows:</w:t>
      </w:r>
    </w:p>
    <w:p>
      <w:pPr>
        <w:spacing w:before="0" w:after="0" w:line="408" w:lineRule="exact"/>
        <w:ind w:left="0" w:right="0" w:firstLine="576"/>
        <w:jc w:val="left"/>
      </w:pPr>
      <w:r>
        <w:rPr/>
        <w:t xml:space="preserve">The surplus funds of a candidate or a candidate's authorized committee may only be disposed of in any one or more of the following ways:</w:t>
      </w:r>
    </w:p>
    <w:p>
      <w:pPr>
        <w:spacing w:before="0" w:after="0" w:line="408" w:lineRule="exact"/>
        <w:ind w:left="0" w:right="0" w:firstLine="576"/>
        <w:jc w:val="left"/>
      </w:pPr>
      <w:r>
        <w:rPr/>
        <w:t xml:space="preserve">(1) Return the surplus to a contributor in an amount not to exceed that contributor's original contribution;</w:t>
      </w:r>
    </w:p>
    <w:p>
      <w:pPr>
        <w:spacing w:before="0" w:after="0" w:line="408" w:lineRule="exact"/>
        <w:ind w:left="0" w:right="0" w:firstLine="576"/>
        <w:jc w:val="left"/>
      </w:pPr>
      <w:r>
        <w:rPr/>
        <w:t xml:space="preserve">(2) Using surplus, reimburse the candidate for lost earnings incurred as a result of that candidate's election campaign. Lost earnings shall be verifiable as unpaid salary or, when the candidate is not salaried, as an amount not to exceed income received by the candidate for services rendered during an appropriate, corresponding time period. All lost earnings incurred shall be documented and a record thereof shall be maintained by the candidate or the candidate's authorized committee. The committee shall maintain a copy of this record in accordance with RCW 42.17A.235</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(3) Transfer the surplus without limit to a political party or to a caucus political committee;</w:t>
      </w:r>
    </w:p>
    <w:p>
      <w:pPr>
        <w:spacing w:before="0" w:after="0" w:line="408" w:lineRule="exact"/>
        <w:ind w:left="0" w:right="0" w:firstLine="576"/>
        <w:jc w:val="left"/>
      </w:pPr>
      <w:r>
        <w:rPr/>
        <w:t xml:space="preserve">(4) Donate the surplus to a charitable organization registered in accordance with chapter 19.09 RCW;</w:t>
      </w:r>
    </w:p>
    <w:p>
      <w:pPr>
        <w:spacing w:before="0" w:after="0" w:line="408" w:lineRule="exact"/>
        <w:ind w:left="0" w:right="0" w:firstLine="576"/>
        <w:jc w:val="left"/>
      </w:pPr>
      <w:r>
        <w:rPr/>
        <w:t xml:space="preserve">(5) Transmit the surplus to the state treasurer for deposit in the general fund, the Washington state legacy project, state library, and archives account under RCW 43.07.380, or the legislative international trade account under RCW 43.15.050, as specified by the candidate or political committee; or</w:t>
      </w:r>
    </w:p>
    <w:p>
      <w:pPr>
        <w:spacing w:before="0" w:after="0" w:line="408" w:lineRule="exact"/>
        <w:ind w:left="0" w:right="0" w:firstLine="576"/>
        <w:jc w:val="left"/>
      </w:pPr>
      <w:r>
        <w:rPr/>
        <w:t xml:space="preserve">(6) Hold the surplus in the depository or depositories designated in accordance with RCW 42.17A.215 for possible use in a future election campaign for the same office last sought by the candidate and report any such disposition in accordance with RCW 42.17A.240. If the candidate subsequently announces or publicly files for office, the appropriate information must be reported to the commission in accordance with RCW 42.17A.205 through 42.17A.240. If a subsequent office is not sought the surplus held shall be disposed of in accordance with the requirements of this section.</w:t>
      </w:r>
    </w:p>
    <w:p>
      <w:pPr>
        <w:spacing w:before="0" w:after="0" w:line="408" w:lineRule="exact"/>
        <w:ind w:left="0" w:right="0" w:firstLine="576"/>
        <w:jc w:val="left"/>
      </w:pPr>
      <w:r>
        <w:rPr/>
        <w:t xml:space="preserve">(7) Hold the surplus campaign funds in a separate account for nonreimbursed public office-related expenses or as provided in this section, and report any such disposition in accordance with RCW </w:t>
      </w:r>
      <w:r>
        <w:rPr>
          <w:u w:val="single"/>
        </w:rPr>
        <w:t xml:space="preserve">42.17A.235(6) and</w:t>
      </w:r>
      <w:r>
        <w:rPr/>
        <w:t xml:space="preserve"> 42.17A.240. The separate account required under this subsection shall not be used for deposits of campaign funds that are not surplus.</w:t>
      </w:r>
    </w:p>
    <w:p>
      <w:pPr>
        <w:spacing w:before="0" w:after="0" w:line="408" w:lineRule="exact"/>
        <w:ind w:left="0" w:right="0" w:firstLine="576"/>
        <w:jc w:val="left"/>
      </w:pPr>
      <w:r>
        <w:rPr/>
        <w:t xml:space="preserve">(8) No candidate or authorized committee may transfer funds to any other candidate or other political committee.</w:t>
      </w:r>
    </w:p>
    <w:p>
      <w:pPr>
        <w:spacing w:before="0" w:after="0" w:line="408" w:lineRule="exact"/>
        <w:ind w:left="0" w:right="0" w:firstLine="576"/>
        <w:jc w:val="left"/>
      </w:pPr>
      <w:r>
        <w:rPr/>
        <w:t xml:space="preserve">The disposal of surplus funds under this section shall not be considered a contribution for purposes of this chapter.</w:t>
      </w:r>
    </w:p>
    <w:p/>
    <w:p>
      <w:pPr>
        <w:jc w:val="center"/>
      </w:pPr>
      <w:r>
        <w:rPr>
          <w:b/>
        </w:rPr>
        <w:t>--- END ---</w:t>
      </w:r>
    </w:p>
    <w:sectPr>
      <w:pgNumType w:start="1"/>
      <w:footerReference xmlns:r="http://schemas.openxmlformats.org/officeDocument/2006/relationships" r:id="R2a22d66178e24e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2387db71ba4a6b" /><Relationship Type="http://schemas.openxmlformats.org/officeDocument/2006/relationships/footer" Target="/word/footer.xml" Id="R2a22d66178e24e17" /></Relationships>
</file>