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e1201be09c4608" /></Relationships>
</file>

<file path=word/document.xml><?xml version="1.0" encoding="utf-8"?>
<w:document xmlns:w="http://schemas.openxmlformats.org/wordprocessingml/2006/main">
  <w:body>
    <w:p>
      <w:r>
        <w:t>H-3531.1</w:t>
      </w:r>
    </w:p>
    <w:p>
      <w:pPr>
        <w:jc w:val="center"/>
      </w:pPr>
      <w:r>
        <w:t>_______________________________________________</w:t>
      </w:r>
    </w:p>
    <w:p/>
    <w:p>
      <w:pPr>
        <w:jc w:val="center"/>
      </w:pPr>
      <w:r>
        <w:rPr>
          <w:b/>
        </w:rPr>
        <w:t>HOUSE BILL 2557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and Reykdal</w:t>
      </w:r>
    </w:p>
    <w:p/>
    <w:p>
      <w:r>
        <w:rPr>
          <w:t xml:space="preserve">Read first time 01/14/16.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return of unused shared leave; and amending RCW 41.04.665.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2015 3rd sp.s. c 1 s 312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or</w:t>
      </w:r>
    </w:p>
    <w:p>
      <w:pPr>
        <w:spacing w:before="0" w:after="0" w:line="408" w:lineRule="exact"/>
        <w:ind w:left="0" w:right="0" w:firstLine="576"/>
        <w:jc w:val="left"/>
      </w:pPr>
      <w:r>
        <w:rPr/>
        <w:t xml:space="preserve">(iv) The employee is a victim of domestic violence, sexual assault, or stalking;</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 or</w:t>
      </w:r>
    </w:p>
    <w:p>
      <w:pPr>
        <w:spacing w:before="0" w:after="0" w:line="408" w:lineRule="exact"/>
        <w:ind w:left="0" w:right="0" w:firstLine="576"/>
        <w:jc w:val="left"/>
      </w:pPr>
      <w:r>
        <w:rPr/>
        <w:t xml:space="preserve">(iii) Annual leave if he or she qualifies under (a)(iii) or (iv) of this subsection;</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or (iv)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The employee has diligently pursued and been found to be ineligible for benefits under chapter 51.32 RCW if he or she qualifies under (a)(i) of this subsection.</w:t>
      </w:r>
    </w:p>
    <w:p>
      <w:pPr>
        <w:spacing w:before="0" w:after="0" w:line="408" w:lineRule="exact"/>
        <w:ind w:left="0" w:right="0" w:firstLine="576"/>
        <w:jc w:val="left"/>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(3)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(3)(a),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(4)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28A.400.300(1)(b) or 28A.310.240(1) with compensation for illness, injury, and emergencies.</w:t>
      </w:r>
    </w:p>
    <w:p>
      <w:pPr>
        <w:spacing w:before="0" w:after="0" w:line="408" w:lineRule="exact"/>
        <w:ind w:left="0" w:right="0" w:firstLine="576"/>
        <w:jc w:val="left"/>
      </w:pPr>
      <w:r>
        <w:rPr/>
        <w:t xml:space="preserve">(5) Transfers of leave made by an agency head under subsections (3) and (4) of this section shall not exceed the requested amount.</w:t>
      </w:r>
    </w:p>
    <w:p>
      <w:pPr>
        <w:spacing w:before="0" w:after="0" w:line="408" w:lineRule="exact"/>
        <w:ind w:left="0" w:right="0" w:firstLine="576"/>
        <w:jc w:val="left"/>
      </w:pPr>
      <w:r>
        <w:rPr/>
        <w:t xml:space="preserve">(6)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(7)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(8)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(9)</w:t>
      </w:r>
      <w:r>
        <w:rPr>
          <w:u w:val="single"/>
        </w:rPr>
        <w:t xml:space="preserve">(a)</w:t>
      </w:r>
      <w:r>
        <w:rPr/>
        <w:t xml:space="preserve">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w:t>
      </w:r>
      <w:r>
        <w:t>((</w:t>
      </w:r>
      <w:r>
        <w:rPr>
          <w:strike/>
        </w:rPr>
        <w:t xml:space="preserve">Before the agency head makes a determination to return unused leave in connection with an illness or injury, or any other qualifying condition, he or she must</w:t>
      </w:r>
      <w:r>
        <w:t>))</w:t>
      </w:r>
      <w:r>
        <w:rPr/>
        <w:t xml:space="preserve"> </w:t>
      </w:r>
      <w:r>
        <w:rPr>
          <w:u w:val="single"/>
        </w:rPr>
        <w:t xml:space="preserve">Unused shared leave may not be returned until one of the following occurs:</w:t>
      </w:r>
    </w:p>
    <w:p>
      <w:pPr>
        <w:spacing w:before="0" w:after="0" w:line="408" w:lineRule="exact"/>
        <w:ind w:left="0" w:right="0" w:firstLine="576"/>
        <w:jc w:val="left"/>
      </w:pPr>
      <w:r>
        <w:rPr>
          <w:u w:val="single"/>
        </w:rPr>
        <w:t xml:space="preserve">(i) The agency head</w:t>
      </w:r>
      <w:r>
        <w:rPr/>
        <w:t xml:space="preserve"> receive</w:t>
      </w:r>
      <w:r>
        <w:rPr>
          <w:u w:val="single"/>
        </w:rPr>
        <w:t xml:space="preserve">s</w:t>
      </w:r>
      <w:r>
        <w:rPr/>
        <w:t xml:space="preserve"> from the affected employee a statement from the employee's doctor verifying that the illness or injury is resolved</w:t>
      </w:r>
      <w:r>
        <w:t>((</w:t>
      </w:r>
      <w:r>
        <w:rPr>
          <w:strike/>
        </w:rPr>
        <w:t xml:space="preserve">.</w:t>
      </w:r>
      <w:r>
        <w:t>))</w:t>
      </w:r>
      <w:r>
        <w:rPr>
          <w:u w:val="single"/>
        </w:rPr>
        <w:t xml:space="preserve">; or</w:t>
      </w:r>
    </w:p>
    <w:p>
      <w:pPr>
        <w:spacing w:before="0" w:after="0" w:line="408" w:lineRule="exact"/>
        <w:ind w:left="0" w:right="0" w:firstLine="576"/>
        <w:jc w:val="left"/>
      </w:pPr>
      <w:r>
        <w:rPr>
          <w:u w:val="single"/>
        </w:rPr>
        <w:t xml:space="preserve">(ii) The employee is released to full-time employment; has not received additional medical treatment for his or her current condition or any other qualifying condition for at least six months; and the employee's doctor has declined, in writing, the employee's request for a statement indicating the employee's condition has been resolved.</w:t>
      </w:r>
    </w:p>
    <w:p>
      <w:pPr>
        <w:spacing w:before="0" w:after="0" w:line="408" w:lineRule="exact"/>
        <w:ind w:left="0" w:right="0" w:firstLine="576"/>
        <w:jc w:val="left"/>
      </w:pPr>
      <w:r>
        <w:rPr>
          <w:u w:val="single"/>
        </w:rPr>
        <w:t xml:space="preserve">(b) If a shared leave account is closed and an employee later has a need to use shared leave due to the same condition listed in the closed account, the agency head must approve a new shared leave request for the employee. </w:t>
      </w:r>
    </w:p>
    <w:p>
      <w:pPr>
        <w:spacing w:before="0" w:after="0" w:line="408" w:lineRule="exact"/>
        <w:ind w:left="0" w:right="0" w:firstLine="576"/>
        <w:jc w:val="left"/>
      </w:pPr>
      <w:r>
        <w:rPr>
          <w:u w:val="single"/>
        </w:rPr>
        <w:t xml:space="preserve">(c)</w:t>
      </w:r>
      <w:r>
        <w:rPr/>
        <w:t xml:space="preserve">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(10)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(11) The director of financial management may adopt rules as necessary to implement subsection (2) of this section.</w:t>
      </w:r>
    </w:p>
    <w:p/>
    <w:p>
      <w:pPr>
        <w:jc w:val="center"/>
      </w:pPr>
      <w:r>
        <w:rPr>
          <w:b/>
        </w:rPr>
        <w:t>--- END ---</w:t>
      </w:r>
    </w:p>
    <w:sectPr>
      <w:pgNumType w:start="1"/>
      <w:footerReference xmlns:r="http://schemas.openxmlformats.org/officeDocument/2006/relationships" r:id="Rc41dfde17f104d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f1ede917f341b0" /><Relationship Type="http://schemas.openxmlformats.org/officeDocument/2006/relationships/footer" Target="/word/footer.xml" Id="Rc41dfde17f104d2d" /></Relationships>
</file>