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d08e0c4b794bc5" /></Relationships>
</file>

<file path=word/document.xml><?xml version="1.0" encoding="utf-8"?>
<w:document xmlns:w="http://schemas.openxmlformats.org/wordprocessingml/2006/main">
  <w:body>
    <w:p>
      <w:r>
        <w:t>H-3124.2</w:t>
      </w:r>
    </w:p>
    <w:p>
      <w:pPr>
        <w:jc w:val="center"/>
      </w:pPr>
      <w:r>
        <w:t>_______________________________________________</w:t>
      </w:r>
    </w:p>
    <w:p/>
    <w:p>
      <w:pPr>
        <w:jc w:val="center"/>
      </w:pPr>
      <w:r>
        <w:rPr>
          <w:b/>
        </w:rPr>
        <w:t>HOUSE BILL 2508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Buys, Springer, Short, Pike, and Young</w:t>
      </w:r>
    </w:p>
    <w:p/>
    <w:p>
      <w:r>
        <w:rPr>
          <w:t xml:space="preserve">Read first time 01/14/16.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adoption of the International Plumbing Code as an alternative recognized building code; amending RCW 19.27.031;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minimizing construction and long-term maintenance costs of buildings is in the public interest. The legislature further finds</w:t>
      </w:r>
      <w:r>
        <w:rPr/>
        <w:t xml:space="preserve"> that providing flexibility in building construction methods can result in efficient, resilient, and sustainable buildings, help local communities achieve their goals of increasing affordable housing, and ease code administration and enforcement, all of which benefits the safety and welfare of building owners, occupants, and the general public. Providing the option for the citizens to benefit from the material and labor efficiencies provided by the international plumbing code is in line with Governor Inslee's Results Washington goal of improving nonelectrical energy efficiency of building and industrial processes to reduce greenhouse gas emissions.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2015 c 11 s 2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w:t>
      </w:r>
      <w:r>
        <w:rPr>
          <w:u w:val="single"/>
        </w:rPr>
        <w:t xml:space="preserve">(a)</w:t>
      </w:r>
      <w:r>
        <w:rPr/>
        <w:t xml:space="preserve"> Except as provided in RCW 19.27.170, the Uniform Plumbing Code and Uniform Plumbing Code Standards, published by the International Association of Plumbing and Mechanical Officials: PROVIDED, That any provisions of such code affecting sewers or fuel gas piping are not adopted; </w:t>
      </w:r>
      <w:r>
        <w:rPr>
          <w:u w:val="single"/>
        </w:rPr>
        <w:t xml:space="preserve">and</w:t>
      </w:r>
    </w:p>
    <w:p>
      <w:pPr>
        <w:spacing w:before="0" w:after="0" w:line="408" w:lineRule="exact"/>
        <w:ind w:left="0" w:right="0" w:firstLine="576"/>
        <w:jc w:val="left"/>
      </w:pPr>
      <w:r>
        <w:rPr>
          <w:u w:val="single"/>
        </w:rPr>
        <w:t xml:space="preserve">(b) As an alternative code, and not in addition to the code in (a) of this subsection, the International Plumbing Code, published by the International Code Council, Inc., with the exception of sections 104.4, 108.7, and 109 and Appendix A of such Code, which are not adopted;</w:t>
      </w:r>
    </w:p>
    <w:p>
      <w:pPr>
        <w:spacing w:before="0" w:after="0" w:line="408" w:lineRule="exact"/>
        <w:ind w:left="0" w:right="0" w:firstLine="576"/>
        <w:jc w:val="left"/>
      </w:pPr>
      <w:r>
        <w:rPr/>
        <w:t xml:space="preserve">(5)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rPr/>
        <w:t xml:space="preserve">(6)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and (4)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building code council may not use any funding or resources to review or modify the 2015 version of the International Plumbing Code, published by the International Code Council, Inc.</w:t>
      </w:r>
    </w:p>
    <w:p/>
    <w:p>
      <w:pPr>
        <w:jc w:val="center"/>
      </w:pPr>
      <w:r>
        <w:rPr>
          <w:b/>
        </w:rPr>
        <w:t>--- END ---</w:t>
      </w:r>
    </w:p>
    <w:sectPr>
      <w:pgNumType w:start="1"/>
      <w:footerReference xmlns:r="http://schemas.openxmlformats.org/officeDocument/2006/relationships" r:id="R3dc474392e944f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da5c503ee04492" /><Relationship Type="http://schemas.openxmlformats.org/officeDocument/2006/relationships/footer" Target="/word/footer.xml" Id="R3dc474392e944fb0" /></Relationships>
</file>