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11ea6a48ce4896" /></Relationships>
</file>

<file path=word/document.xml><?xml version="1.0" encoding="utf-8"?>
<w:document xmlns:w="http://schemas.openxmlformats.org/wordprocessingml/2006/main">
  <w:body>
    <w:p>
      <w:r>
        <w:t>H-3267.2</w:t>
      </w:r>
    </w:p>
    <w:p>
      <w:pPr>
        <w:jc w:val="center"/>
      </w:pPr>
      <w:r>
        <w:t>_______________________________________________</w:t>
      </w:r>
    </w:p>
    <w:p/>
    <w:p>
      <w:pPr>
        <w:jc w:val="center"/>
      </w:pPr>
      <w:r>
        <w:rPr>
          <w:b/>
        </w:rPr>
        <w:t>HOUSE BILL 2504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Hurst, Vick, and Condotta</w:t>
      </w:r>
    </w:p>
    <w:p/>
    <w:p>
      <w:r>
        <w:rPr>
          <w:t xml:space="preserve">Read first time 01/14/16.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reduction of the retail spirits license issuance fee; and amending RCW 66.24.630.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2015 c 186 s 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w:t>
      </w:r>
      <w:r>
        <w:t>((</w:t>
      </w:r>
      <w:r>
        <w:rPr>
          <w:strike/>
        </w:rPr>
        <w:t xml:space="preserve">(b)</w:t>
      </w:r>
      <w:r>
        <w:t>))</w:t>
      </w:r>
      <w:r>
        <w:rPr/>
        <w:t xml:space="preserve"> </w:t>
      </w:r>
      <w:r>
        <w:rPr>
          <w:u w:val="single"/>
        </w:rPr>
        <w:t xml:space="preserve">(c)</w:t>
      </w:r>
      <w:r>
        <w:rPr/>
        <w:t xml:space="preserve"> of this subsection, each spirits retail licensee must pay to the board, for deposit into the liquor revolving fund, a license issuance fee </w:t>
      </w:r>
      <w:r>
        <w:t>((</w:t>
      </w:r>
      <w:r>
        <w:rPr>
          <w:strike/>
        </w:rPr>
        <w:t xml:space="preserve">equivalent to seventeen percent</w:t>
      </w:r>
      <w:r>
        <w:t>))</w:t>
      </w:r>
      <w:r>
        <w:rPr/>
        <w:t xml:space="preserve"> </w:t>
      </w:r>
      <w:r>
        <w:rPr>
          <w:u w:val="single"/>
        </w:rPr>
        <w:t xml:space="preserve">calculated as a percentage</w:t>
      </w:r>
      <w:r>
        <w:rPr/>
        <w:t xml:space="preserve"> of all spirits sales revenues under the license, exclusive of taxes collected by the licensee and of sales of items on which a license fee payable under this section has otherwise been incurred</w:t>
      </w:r>
      <w:r>
        <w:rPr>
          <w:u w:val="single"/>
        </w:rPr>
        <w:t xml:space="preserve">:</w:t>
      </w:r>
    </w:p>
    <w:p>
      <w:pPr>
        <w:spacing w:before="0" w:after="0" w:line="408" w:lineRule="exact"/>
        <w:ind w:left="0" w:right="0" w:firstLine="576"/>
        <w:jc w:val="left"/>
      </w:pPr>
      <w:r>
        <w:rPr>
          <w:u w:val="single"/>
        </w:rPr>
        <w:t xml:space="preserve">(i) Until July 1, 2016, the license issuance fee is seventeen percent of all spirit sales revenues;</w:t>
      </w:r>
    </w:p>
    <w:p>
      <w:pPr>
        <w:spacing w:before="0" w:after="0" w:line="408" w:lineRule="exact"/>
        <w:ind w:left="0" w:right="0" w:firstLine="576"/>
        <w:jc w:val="left"/>
      </w:pPr>
      <w:r>
        <w:rPr>
          <w:u w:val="single"/>
        </w:rPr>
        <w:t xml:space="preserve">(ii) From July 1, 2016, until July 1, 2018, the license issuance fee is fourteen percent of all spirit sales revenues;</w:t>
      </w:r>
    </w:p>
    <w:p>
      <w:pPr>
        <w:spacing w:before="0" w:after="0" w:line="408" w:lineRule="exact"/>
        <w:ind w:left="0" w:right="0" w:firstLine="576"/>
        <w:jc w:val="left"/>
      </w:pPr>
      <w:r>
        <w:rPr>
          <w:u w:val="single"/>
        </w:rPr>
        <w:t xml:space="preserve">(iii) From July 1, 2018, until July 1, 2020, the license issuance fee is nine percent of all spirit sales revenues; and</w:t>
      </w:r>
    </w:p>
    <w:p>
      <w:pPr>
        <w:spacing w:before="0" w:after="0" w:line="408" w:lineRule="exact"/>
        <w:ind w:left="0" w:right="0" w:firstLine="576"/>
        <w:jc w:val="left"/>
      </w:pPr>
      <w:r>
        <w:rPr>
          <w:u w:val="single"/>
        </w:rPr>
        <w:t xml:space="preserve">(iv) Beginning July 1, 2020, the license issuance fee is five percent of all spirit sales revenues</w:t>
      </w:r>
      <w:r>
        <w:rPr/>
        <w:t xml:space="preserve">.</w:t>
      </w:r>
    </w:p>
    <w:p>
      <w:pPr>
        <w:spacing w:before="0" w:after="0" w:line="408" w:lineRule="exact"/>
        <w:ind w:left="0" w:right="0" w:firstLine="576"/>
        <w:jc w:val="left"/>
      </w:pPr>
      <w:r>
        <w:rPr>
          <w:u w:val="single"/>
        </w:rPr>
        <w:t xml:space="preserve">(b)</w:t>
      </w:r>
      <w:r>
        <w:rPr/>
        <w:t xml:space="preserve"> The board must establish rules setting forth the timing of </w:t>
      </w:r>
      <w:r>
        <w:t>((</w:t>
      </w:r>
      <w:r>
        <w:rPr>
          <w:strike/>
        </w:rPr>
        <w:t xml:space="preserve">such</w:t>
      </w:r>
      <w:r>
        <w:t>))</w:t>
      </w:r>
      <w:r>
        <w:rPr/>
        <w:t xml:space="preserve"> </w:t>
      </w:r>
      <w:r>
        <w:rPr>
          <w:u w:val="single"/>
        </w:rPr>
        <w:t xml:space="preserve">the</w:t>
      </w:r>
      <w:r>
        <w:rPr/>
        <w:t xml:space="preserve"> payments </w:t>
      </w:r>
      <w:r>
        <w:rPr>
          <w:u w:val="single"/>
        </w:rPr>
        <w:t xml:space="preserve">required under (a) of this subsection</w:t>
      </w:r>
      <w:r>
        <w:rPr/>
        <w:t xml:space="preserve"> and reporting of sales dollar volume by the licensee, with payments required quarterly in arrears. The first payment is due October 1, 2012.</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
      <w:pPr>
        <w:jc w:val="center"/>
      </w:pPr>
      <w:r>
        <w:rPr>
          <w:b/>
        </w:rPr>
        <w:t>--- END ---</w:t>
      </w:r>
    </w:p>
    <w:sectPr>
      <w:pgNumType w:start="1"/>
      <w:footerReference xmlns:r="http://schemas.openxmlformats.org/officeDocument/2006/relationships" r:id="Rd4eed5773be54d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fc0859d8df4dd7" /><Relationship Type="http://schemas.openxmlformats.org/officeDocument/2006/relationships/footer" Target="/word/footer.xml" Id="Rd4eed5773be54de9" /></Relationships>
</file>