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31d0c36954260" /></Relationships>
</file>

<file path=word/document.xml><?xml version="1.0" encoding="utf-8"?>
<w:document xmlns:w="http://schemas.openxmlformats.org/wordprocessingml/2006/main">
  <w:body>
    <w:p>
      <w:r>
        <w:t>Z-0719.1</w:t>
      </w:r>
    </w:p>
    <w:p>
      <w:pPr>
        <w:jc w:val="center"/>
      </w:pPr>
      <w:r>
        <w:t>_______________________________________________</w:t>
      </w:r>
    </w:p>
    <w:p/>
    <w:p>
      <w:pPr>
        <w:jc w:val="center"/>
      </w:pPr>
      <w:r>
        <w:rPr>
          <w:b/>
        </w:rPr>
        <w:t>HOUSE BILL 2479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Reykdal, Jinkins, Frame, Ormsby, and S. Hunt; by request of Office of Financial Management</w:t>
      </w:r>
    </w:p>
    <w:p/>
    <w:p>
      <w:r>
        <w:rPr>
          <w:t xml:space="preserve">Read first time 01/13/16.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by modifying and improving the fairness of Washington's excise tax system by narrowing or eliminating tax preferences; amending RCW 82.12.0263, 82.08.0273, 82.08.0293, 82.12.0293, and 82.45.010; adding new sections to chapter 82.12 RCW; adding new sections to chapter 82.08 RCW; adding a new section to chapter 82.32 RCW; adding a new section to chapter 43.135 RCW; adding a new section to chapter 39.42 RCW; creating new sections;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Narrowing the Use Tax Exemption for Extracted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value of the article used with respect to refinery fuel gas under this chapter is the most recent monthly United States natural gas wellhead price, as published by the federal energy information administration.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w:t>
      </w:r>
      <w:r>
        <w:t>((</w:t>
      </w:r>
      <w:r>
        <w:rPr>
          <w:strike/>
        </w:rPr>
        <w:t xml:space="preserve">of revenue</w:t>
      </w:r>
      <w:r>
        <w:t>))</w:t>
      </w:r>
      <w:r>
        <w:rPr/>
        <w:t xml:space="preserv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state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w:t>
      </w:r>
      <w:r>
        <w:t>((</w:t>
      </w:r>
      <w:r>
        <w:rPr>
          <w:strike/>
        </w:rPr>
        <w:t xml:space="preserve">(b)</w:t>
      </w:r>
      <w:r>
        <w:t>))</w:t>
      </w:r>
      <w:r>
        <w:rPr/>
        <w:t xml:space="preserve"> of this section.</w:t>
      </w:r>
    </w:p>
    <w:p>
      <w:pPr>
        <w:spacing w:before="0" w:after="0" w:line="408" w:lineRule="exact"/>
        <w:ind w:left="0" w:right="0" w:firstLine="576"/>
        <w:jc w:val="left"/>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p>
    <w:p>
      <w:pPr>
        <w:spacing w:before="0" w:after="0" w:line="408" w:lineRule="exact"/>
        <w:ind w:left="0" w:right="0" w:firstLine="576"/>
        <w:jc w:val="left"/>
      </w:pPr>
      <w:r>
        <w:rPr>
          <w:strike/>
        </w:rPr>
        <w:t xml:space="preserve">(7)</w:t>
      </w:r>
      <w:r>
        <w:t>))</w:t>
      </w:r>
      <w:r>
        <w:rPr/>
        <w:t xml:space="preserve"> </w:t>
      </w:r>
      <w:r>
        <w:rPr>
          <w:u w:val="single"/>
        </w:rPr>
        <w:t xml:space="preserve">(i) Beginning January 1, 2017, through December 31, 2017, a person may request a remittance from the department for state sales taxes paid by the person on qualified retail purchases made in Washington between July 1, 2016, and December 31, 2016.</w:t>
      </w:r>
    </w:p>
    <w:p>
      <w:pPr>
        <w:spacing w:before="0" w:after="0" w:line="408" w:lineRule="exact"/>
        <w:ind w:left="0" w:right="0" w:firstLine="576"/>
        <w:jc w:val="left"/>
      </w:pPr>
      <w:r>
        <w:rPr>
          <w:u w:val="single"/>
        </w:rPr>
        <w:t xml:space="preserve">(ii) Beginning January 1, 2018,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made using an electronic application process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w:t>
      </w:r>
    </w:p>
    <w:p>
      <w:pPr>
        <w:spacing w:before="0" w:after="0" w:line="408" w:lineRule="exact"/>
        <w:ind w:left="0" w:right="0" w:firstLine="576"/>
        <w:jc w:val="left"/>
      </w:pPr>
      <w:r>
        <w:rPr>
          <w:u w:val="single"/>
        </w:rPr>
        <w:t xml:space="preserve">(b) Any person requesting a remittance of sales tax from the department by providing proof of identification or sales receipts not the person's own, or counterfeit identification or sales receipts,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u w:val="single"/>
        </w:rPr>
        <w:t xml:space="preserve">(6) The exemption provided by this section is for state sales taxes.</w:t>
      </w:r>
    </w:p>
    <w:p>
      <w:pPr>
        <w:spacing w:before="0" w:after="0" w:line="408" w:lineRule="exact"/>
        <w:ind w:left="0" w:right="0" w:firstLine="576"/>
        <w:jc w:val="left"/>
      </w:pPr>
      <w:r>
        <w:rPr>
          <w:u w:val="single"/>
        </w:rPr>
        <w:t xml:space="preserve">(7) A nonresident who receives a refund of sales tax from the seller for any reason with respect to a purchase made in this state is not entitled to a remittance for the tax paid on the purchase. A person who receives both a remittance under this section and a refund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the evasion penalty in RCW 82.32.090(7) and is ineligible to receive any further remittances from the department under this section.</w:t>
      </w:r>
    </w:p>
    <w:p>
      <w:pPr>
        <w:spacing w:before="0" w:after="0" w:line="408" w:lineRule="exact"/>
        <w:ind w:left="0" w:right="0" w:firstLine="576"/>
        <w:jc w:val="left"/>
      </w:pP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other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The provisions of RCW 82.32.060 apply to refunds authorized under this section.</w:t>
      </w:r>
    </w:p>
    <w:p>
      <w:pPr>
        <w:spacing w:before="0" w:after="0" w:line="408" w:lineRule="exact"/>
        <w:ind w:left="0" w:right="0" w:firstLine="576"/>
        <w:jc w:val="left"/>
      </w:pPr>
      <w:r>
        <w:rPr/>
        <w:t xml:space="preserve">(5)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306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 The provisions of RCW 82.32.060 apply to refunds authorized under this section.</w:t>
      </w:r>
    </w:p>
    <w:p>
      <w:pPr>
        <w:spacing w:before="0" w:after="0" w:line="408" w:lineRule="exact"/>
        <w:ind w:left="0" w:right="0" w:firstLine="576"/>
        <w:jc w:val="left"/>
      </w:pPr>
      <w:r>
        <w:rPr/>
        <w:t xml:space="preserve">(4)(a)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305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303 through 306 of this act are not subject to RCW 82.32.805 and 82.32.808.</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Real Estate Excise Tax on Foreclosures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legislature finds that the existing real estate excise tax exemption for transfers occurring in the context of bank foreclosures and the enforcement of judgments by creditors does not benefit distressed homeowners except in limited circumstances. The exemption has been broadly used to exempt sales made to third-party buyers by combining an unrelated sales transaction into the foreclosure proceeding. In addition, there have been questions raised in litigation whether the exemption applies to orders of sales arising in any court context, rather than those expressly identified in the existing exemption. It is the intent of the legislature to (1) eliminate the real estate excise tax exemption for transfers that occur in foreclosures except in circumstances where the tax would impact the owner of the property, and (2) restructure the existing statute to preserve the exemption for deeds given in lieu of the foreclosure process and transfers made to extinguish existing security interests. Because this restructuring is intended only to clarify and preserve existing exemptions, the legislature does not intend for the provisions of RCW 82.32.805 or 82.32.808 to apply to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spacing w:before="0" w:after="0" w:line="408" w:lineRule="exact"/>
        <w:ind w:left="0" w:right="0" w:firstLine="576"/>
        <w:jc w:val="left"/>
      </w:pPr>
      <w:r>
        <w:rPr/>
        <w:t xml:space="preserve">(j) Any transfer or conveyance made pursuant to a </w:t>
      </w:r>
      <w:r>
        <w:rPr>
          <w:u w:val="single"/>
        </w:rPr>
        <w:t xml:space="preserve">foreclosure of a mortgage or</w:t>
      </w:r>
      <w:r>
        <w:rPr/>
        <w:t xml:space="preserve"> deed of trust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when:</w:t>
      </w:r>
    </w:p>
    <w:p>
      <w:pPr>
        <w:spacing w:before="0" w:after="0" w:line="408" w:lineRule="exact"/>
        <w:ind w:left="0" w:right="0" w:firstLine="576"/>
        <w:jc w:val="left"/>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spacing w:before="0" w:after="0" w:line="408" w:lineRule="exact"/>
        <w:ind w:left="0" w:right="0" w:firstLine="576"/>
        <w:jc w:val="left"/>
      </w:pPr>
      <w:r>
        <w:rPr>
          <w:u w:val="single"/>
        </w:rPr>
        <w:t xml:space="preserve">(ii) The transfer or conveyance is to the United States, this state, or any political subdivision thereof, or a municipal corporation of this state</w:t>
      </w:r>
      <w:r>
        <w:rPr/>
        <w:t xml:space="preserve">.</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sections 401 and 402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Transfers to Education Legacy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June 15th of each year, the department must estimate the increase in state general fund revenues from the changes made under parts I through IV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501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The purpose of repealing or narrowing tax preferences in parts I through IV of this act is to support education-related expenditures from the education legacy trust account. For this reason, general state revenues transferred to the education legacy trust account under section 501 of this act are excluded from the calculation of general state revenues for purposes of Article VIII, section 1 of the state Constitution and RCW 39.42.130 and 39.42.140.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5fa66f29287546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bffd7b5de74296" /><Relationship Type="http://schemas.openxmlformats.org/officeDocument/2006/relationships/footer" Target="/word/footer.xml" Id="R5fa66f29287546d1" /></Relationships>
</file>