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e9c12b1e394e93" /></Relationships>
</file>

<file path=word/document.xml><?xml version="1.0" encoding="utf-8"?>
<w:document xmlns:w="http://schemas.openxmlformats.org/wordprocessingml/2006/main">
  <w:body>
    <w:p>
      <w:r>
        <w:t>H-3413.2</w:t>
      </w:r>
    </w:p>
    <w:p>
      <w:pPr>
        <w:jc w:val="center"/>
      </w:pPr>
      <w:r>
        <w:t>_______________________________________________</w:t>
      </w:r>
    </w:p>
    <w:p/>
    <w:p>
      <w:pPr>
        <w:jc w:val="center"/>
      </w:pPr>
      <w:r>
        <w:rPr>
          <w:b/>
        </w:rPr>
        <w:t>HOUSE BILL 2466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Schmick, Van De Wege, and Santos</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home facilities; amending RCW 74.46.561, 74.42.360, and 74.42.010; reenacting and amending RCW 74.46.020; repealing RCW 74.46.803 and 74.46.807;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2015 2nd sp.s. c 2 s 4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w:t>
      </w:r>
      <w:r>
        <w:rPr>
          <w:u w:val="single"/>
        </w:rPr>
        <w:t xml:space="preserve">or greater</w:t>
      </w:r>
      <w:r>
        <w:rPr/>
        <w:t xml:space="preserve"> of facility-wide case mix neutral median costs. Direct care must be performance-adjusted for acuity every six months, using case mix principles. Direct care must be regionally adjusted </w:t>
      </w:r>
      <w:r>
        <w:t>((</w:t>
      </w:r>
      <w:r>
        <w:rPr>
          <w:strike/>
        </w:rPr>
        <w:t xml:space="preserve">for nonmetropolitan and metropolitan statistical areas</w:t>
      </w:r>
      <w:r>
        <w:t>))</w:t>
      </w:r>
      <w:r>
        <w:rPr/>
        <w:t xml:space="preserve"> </w:t>
      </w:r>
      <w:r>
        <w:rPr>
          <w:u w:val="single"/>
        </w:rPr>
        <w:t xml:space="preserve">using county wide wage index information available through the United States department of labor's bureau of labor statistics</w:t>
      </w:r>
      <w:r>
        <w:rPr/>
        <w:t xml:space="preserve">. There is no minimum occupancy for direct care.</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median costs. </w:t>
      </w:r>
      <w:r>
        <w:t>((</w:t>
      </w:r>
      <w:r>
        <w:rPr>
          <w:strike/>
        </w:rPr>
        <w:t xml:space="preserve">Indirect care must be regionally adjusted for nonmetropolitan and metropolitan statistical areas.</w:t>
      </w:r>
      <w:r>
        <w:t>))</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u w:val="single"/>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u w:val="single"/>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u w:val="single"/>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u w:val="single"/>
        </w:rPr>
        <w:t xml:space="preserve">(d) Each facility must be paid at eighty-three percent or greater of the median nursing facility RS means construction index value per square foot for Washington state as published in the most recent addition.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rate is not less than ten dollars and eighty cents ppd.</w:t>
      </w:r>
    </w:p>
    <w:p>
      <w:pPr>
        <w:spacing w:before="0" w:after="0" w:line="408" w:lineRule="exact"/>
        <w:ind w:left="0" w:right="0" w:firstLine="576"/>
        <w:jc w:val="left"/>
      </w:pPr>
      <w:r>
        <w:rPr>
          <w:u w:val="single"/>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u w:val="single"/>
        </w:rPr>
        <w:t xml:space="preserve">(f) A nursing facility's fair rental value rate allocation must be rebased annually, effective July 1, 2016, in accordance with this section and this chapter.</w:t>
      </w:r>
    </w:p>
    <w:p>
      <w:pPr>
        <w:spacing w:before="0" w:after="0" w:line="408" w:lineRule="exact"/>
        <w:ind w:left="0" w:right="0" w:firstLine="576"/>
        <w:jc w:val="left"/>
      </w:pPr>
      <w:r>
        <w:rPr>
          <w:u w:val="single"/>
        </w:rPr>
        <w:t xml:space="preserve">(g)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u w:val="single"/>
        </w:rPr>
        <w:t xml:space="preserve">(a)</w:t>
      </w:r>
      <w:r>
        <w:rPr/>
        <w:t xml:space="preserve"> An enhancement no larger than five percent </w:t>
      </w:r>
      <w:r>
        <w:rPr>
          <w:u w:val="single"/>
        </w:rPr>
        <w:t xml:space="preserve">and no less than one percent</w:t>
      </w:r>
      <w:r>
        <w:rPr/>
        <w:t xml:space="preserve"> of the statewide average daily rate must be paid to facilities that meet or exceed the standard established for the quality incentive. All providers must have the opportunity to earn the full quality incentive. </w:t>
      </w:r>
      <w:r>
        <w:t>((</w:t>
      </w:r>
      <w:r>
        <w:rPr>
          <w:strike/>
        </w:rPr>
        <w:t xml:space="preserve">The department must recommend four to six measures to become the standard for the quality incentive, and must describe a system for rewarding incremental improvement related to these four to six measures, within the report to the legislature described in section 6, chapter 2, Laws of 2015 2nd sp. sess. Infection rates, pressure ulcers, staffing turnover, fall prevention, utilization of antipsychotic medication, and hospital readmission rates are examples of measures that may be established for the quality incentive.</w:t>
      </w:r>
      <w:r>
        <w:t>))</w:t>
      </w:r>
    </w:p>
    <w:p>
      <w:pPr>
        <w:spacing w:before="0" w:after="0" w:line="408" w:lineRule="exact"/>
        <w:ind w:left="0" w:right="0" w:firstLine="576"/>
        <w:jc w:val="left"/>
      </w:pPr>
      <w:r>
        <w:rPr>
          <w:u w:val="single"/>
        </w:rPr>
        <w:t xml:space="preserve">(b) The quality incentive must be determined by calculating an overall facility quality score composed of four to six quality measures. Initially, the quality incentive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quality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u w:val="single"/>
        </w:rPr>
        <w:t xml:space="preserve">(c) The facility quality score must be point based, using at a minimum the facility's most recent available three-quarter average CMS quality data. Point thresholds for each quality measure must be established using the corresponding statistical values for the quality measure (QM) point determinants of eighty QM points, sixty QM points, forty 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u w:val="single"/>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u w:val="single"/>
        </w:rPr>
        <w:t xml:space="preserve">(e) Facilities receiving an aggregate quality score of eighty points or higher must be placed in the highest tier (Tier V), facilities receiving an aggregate score of between seventy and seventy-nine points must be placed in the second highest tier (Tier IV), facilities receiving an aggregate score of between sixty and sixty-nine points must be placed in the third highest tier (Tier III), facilities receiving an aggregate score of between fifty and fifty-nine points must be placed in the fourth highest tier (Tier II), and facilities receiving less that fifty points must be placed in the lowest tier (Tier I).</w:t>
      </w:r>
    </w:p>
    <w:p>
      <w:pPr>
        <w:spacing w:before="0" w:after="0" w:line="408" w:lineRule="exact"/>
        <w:ind w:left="0" w:right="0" w:firstLine="576"/>
        <w:jc w:val="left"/>
      </w:pPr>
      <w:r>
        <w:rPr>
          <w:u w:val="single"/>
        </w:rPr>
        <w:t xml:space="preserve">(f) The tier system must be used to determine the amount of each facility's per patient day quality incentive. The per patient day quality incentive for Tier IV is seventy-five percent of the per patient day quality incentive for Tier V, the per patient day quality incentive for Tier III is fifty percent of the per patient day quality incentive for Tier V, and the per patient day quality incentive for Tier II is twenty-five percent of the per patient day quality incentive for Tier V. Facilities in Tier I receive no quality incentive.</w:t>
      </w:r>
    </w:p>
    <w:p>
      <w:pPr>
        <w:spacing w:before="0" w:after="0" w:line="408" w:lineRule="exact"/>
        <w:ind w:left="0" w:right="0" w:firstLine="576"/>
        <w:jc w:val="left"/>
      </w:pPr>
      <w:r>
        <w:rPr>
          <w:u w:val="single"/>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u w:val="single"/>
        </w:rPr>
        <w:t xml:space="preserve">(h) Facilities with insufficient three-quarter average CMS quality data must be assigned to the tier corresponding to their five-star rating. Facilities with a five-star rating must be assigned to the highest tier (Tier V) and facilities with a one-star quality rating must be assigned to the lowest tier (Tier I).</w:t>
      </w:r>
    </w:p>
    <w:p>
      <w:pPr>
        <w:spacing w:before="0" w:after="0" w:line="408" w:lineRule="exact"/>
        <w:ind w:left="0" w:right="0" w:firstLine="576"/>
        <w:jc w:val="left"/>
      </w:pPr>
      <w:r>
        <w:rPr>
          <w:u w:val="single"/>
        </w:rPr>
        <w:t xml:space="preserve">(i) The quality incentive rates must be adjusted semiannually on July 1 and January 1 of each year using, at a minimum, the most recent available three-quarter average CMS quality data.</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2015 2nd sp.s. c 2 s 7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w:t>
      </w:r>
      <w:r>
        <w:rPr>
          <w:u w:val="single"/>
        </w:rPr>
        <w:t xml:space="preserve">as defined in RCW 74.42.010</w:t>
      </w:r>
      <w:r>
        <w:rPr/>
        <w:t xml:space="preserve"> includes registered nurses, licensed practical nurses, and certified nursing assistants.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w:t>
      </w:r>
      <w:r>
        <w:rPr>
          <w:u w:val="single"/>
        </w:rPr>
        <w:t xml:space="preserve">the center for medicare and medicaid service's payroll based journal and</w:t>
      </w:r>
      <w:r>
        <w:rPr/>
        <w:t xml:space="preserve">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w:t>
      </w:r>
      <w:r>
        <w:rPr>
          <w:u w:val="single"/>
        </w:rPr>
        <w:t xml:space="preserve">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HPRD for the quarter. A facility found out of compliance must be assessed a monetary penalty at the lowest penalty level if the facility has met or exceeded the requirements in subsection (2) of this section for three or more consecutive years.</w:t>
      </w:r>
      <w:r>
        <w:rPr/>
        <w:t xml:space="preserve">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u w:val="single"/>
        </w:rPr>
        <w:t xml:space="preserve">(c) The department shall establish in rule an exception allowing geriatric behavioral health workers as defined in RCW 74.42.010 to be recognized in the minimum staffing requirements as part of the direct care service delivery to individuals suffering from mental illness. In order to qualify for the exception:</w:t>
      </w:r>
    </w:p>
    <w:p>
      <w:pPr>
        <w:spacing w:before="0" w:after="0" w:line="408" w:lineRule="exact"/>
        <w:ind w:left="0" w:right="0" w:firstLine="576"/>
        <w:jc w:val="left"/>
      </w:pPr>
      <w:r>
        <w:rPr>
          <w:u w:val="single"/>
        </w:rPr>
        <w:t xml:space="preserve">(i) The worker must have at least three years experience providing care for individuals with chronic mental health issues, dementia, or intellectual and developmental disabilities in a long-term care or behavioral health care setting;</w:t>
      </w:r>
    </w:p>
    <w:p>
      <w:pPr>
        <w:spacing w:before="0" w:after="0" w:line="408" w:lineRule="exact"/>
        <w:ind w:left="0" w:right="0" w:firstLine="576"/>
        <w:jc w:val="left"/>
      </w:pPr>
      <w:r>
        <w:rPr>
          <w:u w:val="single"/>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u w:val="single"/>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u w:val="single"/>
        </w:rPr>
        <w:t xml:space="preserve">(d) The department shall establish a limited exception to the 3.4 HPRD staffing requirement for facilities demonstrating a good faith effort to hire and retain staff. The department's authority to grant exceptions to the 3.4 HPRD minimum staffing requirement expires June 30, 2018.</w:t>
      </w:r>
    </w:p>
    <w:p>
      <w:pPr>
        <w:spacing w:before="0" w:after="0" w:line="408" w:lineRule="exact"/>
        <w:ind w:left="0" w:right="0" w:firstLine="576"/>
        <w:jc w:val="left"/>
      </w:pPr>
      <w:r>
        <w:rPr/>
        <w:t xml:space="preserve">(3)</w:t>
      </w:r>
      <w:r>
        <w:rPr>
          <w:u w:val="single"/>
        </w:rPr>
        <w:t xml:space="preserve">(a)</w:t>
      </w:r>
      <w:r>
        <w:rPr/>
        <w:t xml:space="preserve">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2011 c 228 s 2 and 2011 c 89 s 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"Facility" refers to a nursing home as defined in RCW 18.51.010.</w:t>
      </w:r>
    </w:p>
    <w:p>
      <w:pPr>
        <w:spacing w:before="0" w:after="0" w:line="408" w:lineRule="exact"/>
        <w:ind w:left="0" w:right="0" w:firstLine="576"/>
        <w:jc w:val="left"/>
      </w:pPr>
      <w:r>
        <w:rPr/>
        <w:t xml:space="preserve">(3) "Licensed practical nurse" means a person licensed to practice practical nursing under chapter 18.79 RCW.</w:t>
      </w:r>
    </w:p>
    <w:p>
      <w:pPr>
        <w:spacing w:before="0" w:after="0" w:line="408" w:lineRule="exact"/>
        <w:ind w:left="0" w:right="0" w:firstLine="576"/>
        <w:jc w:val="left"/>
      </w:pPr>
      <w:r>
        <w:rPr/>
        <w:t xml:space="preserve">(4)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(5) "Nurse practitioner" means a person licensed to practice advanced registered nursing under chapter 18.79 RCW.</w:t>
      </w:r>
    </w:p>
    <w:p>
      <w:pPr>
        <w:spacing w:before="0" w:after="0" w:line="408" w:lineRule="exact"/>
        <w:ind w:left="0" w:right="0" w:firstLine="576"/>
        <w:jc w:val="left"/>
      </w:pPr>
      <w:r>
        <w:rPr/>
        <w:t xml:space="preserve">(6)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(7)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(8) "Physician assistant" means a person practicing pursuant to chapter 18.57A or 18.71A RCW.</w:t>
      </w:r>
    </w:p>
    <w:p>
      <w:pPr>
        <w:spacing w:before="0" w:after="0" w:line="408" w:lineRule="exact"/>
        <w:ind w:left="0" w:right="0" w:firstLine="576"/>
        <w:jc w:val="left"/>
      </w:pPr>
      <w:r>
        <w:rPr/>
        <w:t xml:space="preserve">(9)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(10) "Registered nurse" means a person licensed to practice registered nursing under chapter 18.79 RCW.</w:t>
      </w:r>
    </w:p>
    <w:p>
      <w:pPr>
        <w:spacing w:before="0" w:after="0" w:line="408" w:lineRule="exact"/>
        <w:ind w:left="0" w:right="0" w:firstLine="576"/>
        <w:jc w:val="left"/>
      </w:pPr>
      <w:r>
        <w:rPr/>
        <w:t xml:space="preserve">(11) "Resident" means an individual residing in a nursing home, as defined in RCW 18.51.010.</w:t>
      </w:r>
    </w:p>
    <w:p>
      <w:pPr>
        <w:spacing w:before="0" w:after="0" w:line="408" w:lineRule="exact"/>
        <w:ind w:left="0" w:right="0" w:firstLine="576"/>
        <w:jc w:val="left"/>
      </w:pPr>
      <w:r>
        <w:rPr>
          <w:u w:val="single"/>
        </w:rPr>
        <w:t xml:space="preserve">(12)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u w:val="single"/>
        </w:rPr>
        <w:t xml:space="preserve">(13) "Geriatric behavioral health worker" means a person with a bachelor's or master's degree in social work who has received specialized training devoted to mental illness and treatment of older adults.</w:t>
      </w:r>
    </w:p>
    <w:p>
      <w:pPr>
        <w:spacing w:before="0" w:after="0" w:line="408" w:lineRule="exact"/>
        <w:ind w:left="0" w:right="0" w:firstLine="576"/>
        <w:jc w:val="left"/>
      </w:pPr>
      <w:r>
        <w:rPr>
          <w:u w:val="single"/>
        </w:rPr>
        <w:t xml:space="preserve">(14) "Licensed practical nurse" means a person licensed to practice practical nursing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2010 1st sp.s. c 34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"Capitalization" means the recording of an expenditure as an asset.</w:t>
      </w:r>
    </w:p>
    <w:p>
      <w:pPr>
        <w:spacing w:before="0" w:after="0" w:line="408" w:lineRule="exact"/>
        <w:ind w:left="0" w:right="0" w:firstLine="576"/>
        <w:jc w:val="left"/>
      </w:pPr>
      <w:r>
        <w:rPr/>
        <w:t xml:space="preserve">(6)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(7) "Case mix index" means a number representing the average case mix of a nursing facility.</w:t>
      </w:r>
    </w:p>
    <w:p>
      <w:pPr>
        <w:spacing w:before="0" w:after="0" w:line="408" w:lineRule="exact"/>
        <w:ind w:left="0" w:right="0" w:firstLine="576"/>
        <w:jc w:val="left"/>
      </w:pPr>
      <w:r>
        <w:rPr/>
        <w:t xml:space="preserve">(8)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(9) </w:t>
      </w:r>
      <w:r>
        <w:t>((</w:t>
      </w:r>
      <w:r>
        <w:rPr>
          <w:strike/>
        </w:rPr>
        <w:t xml:space="preserve">"Certificate of capital authorization" means a certification from the department for an allocation from the biennial capital financing authorization for all new or replacement building construction, or for major renovation projects, receiving a certificate of need or a certificate of need exemption under chapter 70.38 RCW after July 1, 2001.</w:t>
      </w:r>
    </w:p>
    <w:p>
      <w:pPr>
        <w:spacing w:before="0" w:after="0" w:line="408" w:lineRule="exact"/>
        <w:ind w:left="0" w:right="0" w:firstLine="576"/>
        <w:jc w:val="left"/>
      </w:pPr>
      <w:r>
        <w:rPr>
          <w:strike/>
        </w:rPr>
        <w:t xml:space="preserve">(10)</w:t>
      </w:r>
      <w:r>
        <w:t>))</w:t>
      </w:r>
      <w:r>
        <w:rPr/>
        <w:t xml:space="preserve">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 (DSHS) and its employees.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"Depreciation" means the systematic distribution of the cost or other basis of tangible assets, less salvage, over the estimated useful life of the assets.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"Direct care" means nursing care and related care provided to nursing facility residents. Therapy care shall not be considered part of direct care.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"Direct care supplies" means medical, pharmaceutical, and other supplies required for the direct care of a nursing facility's residents.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"Fair market value" means the replacement cost of an asset less observed physical depreciation on the date for which the market value is being determined.</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"Generally accepted accounting principles" means accounting principles approved by the financial accounting standards board (FASB)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"Net book value" means the historical cost of an asset less accumulated depreciation.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"Rate" or "rate allocation" means the medicaid per-patient-day payment amount for medicaid patients calculated in accordance with the allocation methodology set forth in part E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"Support services" means food, food preparation, dietary, housekeeping, and laundry services provided to nursing facility residents.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 and</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
      <w:pPr>
        <w:jc w:val="center"/>
      </w:pPr>
      <w:r>
        <w:rPr>
          <w:b/>
        </w:rPr>
        <w:t>--- END ---</w:t>
      </w:r>
    </w:p>
    <w:sectPr>
      <w:pgNumType w:start="1"/>
      <w:footerReference xmlns:r="http://schemas.openxmlformats.org/officeDocument/2006/relationships" r:id="Rbdce859c8b4840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b825be96af44f9" /><Relationship Type="http://schemas.openxmlformats.org/officeDocument/2006/relationships/footer" Target="/word/footer.xml" Id="Rbdce859c8b484046" /></Relationships>
</file>