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3c1afe86be4492" /></Relationships>
</file>

<file path=word/document.xml><?xml version="1.0" encoding="utf-8"?>
<w:document xmlns:w="http://schemas.openxmlformats.org/wordprocessingml/2006/main">
  <w:body>
    <w:p>
      <w:r>
        <w:t>H-3006.4</w:t>
      </w:r>
    </w:p>
    <w:p>
      <w:pPr>
        <w:jc w:val="center"/>
      </w:pPr>
      <w:r>
        <w:t>_______________________________________________</w:t>
      </w:r>
    </w:p>
    <w:p/>
    <w:p>
      <w:pPr>
        <w:jc w:val="center"/>
      </w:pPr>
      <w:r>
        <w:rPr>
          <w:b/>
        </w:rPr>
        <w:t>HOUSE BILL 2419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Goodman, Young, Shea, Vick, Buys, Magendanz, Muri, Condotta, Scott, and Wilson</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licensing to not issue front license plates for certain vehicles; reenacting and amending RCW 46.16A.200;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w:t>
      </w:r>
      <w:r>
        <w:t>((</w:t>
      </w:r>
      <w:r>
        <w:rPr>
          <w:strike/>
        </w:rPr>
        <w:t xml:space="preserve">shall</w:t>
      </w:r>
      <w:r>
        <w:t>))</w:t>
      </w:r>
      <w:r>
        <w:rPr/>
        <w:t xml:space="preserve"> </w:t>
      </w:r>
      <w:r>
        <w:rPr>
          <w:u w:val="single"/>
        </w:rPr>
        <w:t xml:space="preserve">must</w:t>
      </w:r>
      <w:r>
        <w:rPr/>
        <w:t xml:space="preserve">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camper, moped, collector vehicle, horseless carriage, or motorcycle</w:t>
      </w:r>
      <w:r>
        <w:rPr>
          <w:u w:val="single"/>
        </w:rPr>
        <w:t xml:space="preserve">, or if the vehicle was originally manufactured without an installed bracket, device, or other means to display and secure a license plate on the front of the vehicle</w:t>
      </w:r>
      <w:r>
        <w:rPr/>
        <w:t xml:space="preserv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u w:val="single"/>
        </w:rPr>
        <w:t xml:space="preserve">(c) Any vehicle originally manufactured without an installed bracket, device, or other means to display and secure a license plate on the front of the vehicle, and registered in an area near a toll facility that does not allow the payment of tolls manually at a tollbooth, may be required by department rule to purchase and use a "Good to Go!" pass. The department must hold a public hearing on the rule at a location within each area that will be subject to the requirements in the rule.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w:t>
      </w:r>
      <w:r>
        <w:t>((</w:t>
      </w:r>
      <w:r>
        <w:rPr>
          <w:strike/>
        </w:rPr>
        <w:t xml:space="preserve">shall</w:t>
      </w:r>
      <w:r>
        <w:t>))</w:t>
      </w:r>
      <w:r>
        <w:rPr/>
        <w:t xml:space="preserve"> </w:t>
      </w:r>
      <w:r>
        <w:rPr>
          <w:u w:val="single"/>
        </w:rPr>
        <w:t xml:space="preserve">may</w:t>
      </w:r>
      <w:r>
        <w:rPr/>
        <w:t xml:space="preserve">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b/>
          <w:strike/>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893becaeb865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6620f2c5d484b" /><Relationship Type="http://schemas.openxmlformats.org/officeDocument/2006/relationships/footer" Target="/word/footer.xml" Id="R893becaeb8654ba8" /></Relationships>
</file>