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082810a434179" /></Relationships>
</file>

<file path=word/document.xml><?xml version="1.0" encoding="utf-8"?>
<w:document xmlns:w="http://schemas.openxmlformats.org/wordprocessingml/2006/main">
  <w:body>
    <w:p>
      <w:r>
        <w:t>H-3395.1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2411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Representatives Hayes, Orwall, and S. Hunt</w:t>
      </w:r>
    </w:p>
    <w:p/>
    <w:p>
      <w:r>
        <w:rPr>
          <w:t xml:space="preserve">Read first time 01/13/16.  </w:t>
        </w:rPr>
      </w:r>
      <w:r>
        <w:rPr>
          <w:t xml:space="preserve">Referred to Committee on Public Safety.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removing the marriage element from the crime of rape of a child in the first degree; amending RCW 9A.44.073;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9A</w:t>
      </w:r>
      <w:r>
        <w:rPr/>
        <w:t xml:space="preserve">.</w:t>
      </w:r>
      <w:r>
        <w:t xml:space="preserve">44</w:t>
      </w:r>
      <w:r>
        <w:rPr/>
        <w:t xml:space="preserve">.</w:t>
      </w:r>
      <w:r>
        <w:t xml:space="preserve">073</w:t>
      </w:r>
      <w:r>
        <w:rPr/>
        <w:t xml:space="preserve"> and 1988 c 145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is guilty of rape of a child in the first degree when the person has sexual intercourse with another who is less than twelve years old </w:t>
      </w:r>
      <w:r>
        <w:t>((</w:t>
      </w:r>
      <w:r>
        <w:rPr>
          <w:strike/>
        </w:rPr>
        <w:t xml:space="preserve">and not married to the perpetrator</w:t>
      </w:r>
      <w:r>
        <w:t>))</w:t>
      </w:r>
      <w:r>
        <w:rPr/>
        <w:t xml:space="preserve"> and the perpetrator is at least twenty-four months older than the victim.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Rape of a child in the first degree is a class A felony.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da5e4c171d345b5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2411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6b879641c4096" /><Relationship Type="http://schemas.openxmlformats.org/officeDocument/2006/relationships/footer" Target="/word/footer.xml" Id="Rdda5e4c171d345b5" /></Relationships>
</file>