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8887b1e9c946b7" /></Relationships>
</file>

<file path=word/document.xml><?xml version="1.0" encoding="utf-8"?>
<w:document xmlns:w="http://schemas.openxmlformats.org/wordprocessingml/2006/main">
  <w:body>
    <w:p>
      <w:r>
        <w:t>H-3369.2</w:t>
      </w:r>
    </w:p>
    <w:p>
      <w:pPr>
        <w:jc w:val="center"/>
      </w:pPr>
      <w:r>
        <w:t>_______________________________________________</w:t>
      </w:r>
    </w:p>
    <w:p/>
    <w:p>
      <w:pPr>
        <w:jc w:val="center"/>
      </w:pPr>
      <w:r>
        <w:rPr>
          <w:b/>
        </w:rPr>
        <w:t>HOUSE BILL 2383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Reykdal, Ormsby, Jinkins, Appleton, Stanford, Gregerson, McBride, and Santos</w:t>
      </w:r>
    </w:p>
    <w:p/>
    <w:p>
      <w:r>
        <w:rPr>
          <w:t xml:space="preserve">Read first time 01/12/16.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acupuncture as an authorized treatment for injured workers; and amending RCW 51.04.030.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030</w:t>
      </w:r>
      <w:r>
        <w:rPr/>
        <w:t xml:space="preserve"> and 2011 c 290 s 1 are each amended to read as follows:</w:t>
      </w:r>
    </w:p>
    <w:p>
      <w:pPr>
        <w:spacing w:before="0" w:after="0" w:line="408" w:lineRule="exact"/>
        <w:ind w:left="0" w:right="0" w:firstLine="576"/>
        <w:jc w:val="left"/>
      </w:pPr>
      <w:r>
        <w:rPr/>
        <w:t xml:space="preserve">(1) The director shall supervise the providing of prompt and efficient care and treatment, including care provided by physician assistants governed by the provisions of chapters 18.57A and 18.71A RCW, acting under a supervising physician, including chiropractic care, and including care provided by licensed advanced registered nurse practitioners, to workers injured during the course of their employment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rules, regulations, and practices for the furnishing of such care and treatment: PROVIDED, That the medical coverage decisions of the department do not constitute a "rule" as used in RCW 34.05.010(16), nor are such decisions subject to the rule-making provisions of chapter 34.05 RCW except that criteria for establishing medical coverage decisions shall be adopted by rule after consultation with the workers' compensation advisory committee established in RCW 51.04.110: PROVIDED FURTHER, That the department may recommend to an injured worker particular health care services and providers where specialized treatment is indicated or where cost effective payment levels or rates are obtained by the department: AND PROVIDED FURTHER, That the department may enter into contracts for goods and services including, but not limited to, durable medical equipment so long as statewide access to quality service is maintained for injured workers.</w:t>
      </w:r>
    </w:p>
    <w:p>
      <w:pPr>
        <w:spacing w:before="0" w:after="0" w:line="408" w:lineRule="exact"/>
        <w:ind w:left="0" w:right="0" w:firstLine="576"/>
        <w:jc w:val="left"/>
      </w:pPr>
      <w:r>
        <w:rPr/>
        <w:t xml:space="preserve">(2) </w:t>
      </w:r>
      <w:r>
        <w:rPr>
          <w:u w:val="single"/>
        </w:rPr>
        <w:t xml:space="preserve">By January 1, 2017, the director shall adopt policies and rules, as appropriate, under which acupuncture is an approved treatment and East Asian medicine practitioners are providers under this title.</w:t>
      </w:r>
    </w:p>
    <w:p>
      <w:pPr>
        <w:spacing w:before="0" w:after="0" w:line="408" w:lineRule="exact"/>
        <w:ind w:left="0" w:right="0" w:firstLine="576"/>
        <w:jc w:val="left"/>
      </w:pPr>
      <w:r>
        <w:rPr>
          <w:u w:val="single"/>
        </w:rPr>
        <w:t xml:space="preserve">(3)</w:t>
      </w:r>
      <w:r>
        <w:rPr/>
        <w:t xml:space="preserve"> The director shall, in consultation with interested persons, establish and, in his or her discretion, periodically change as may be necessary, and make available a fee schedule of the maximum charges to be made by any physician, surgeon, chiropractor, hospital, druggist, licensed advanced registered nurse practitioner, physicians' assistants as defined in chapters 18.57A and 18.71A RCW, acting under a supervising physician or other agency or person rendering services to injured workers.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injured workers, whether aliens or other injured workers,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and its associated billing or payment instructions and policies constitute a "rule" as used in RCW 34.05.010(16).</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director or self-insurer, as the case may be, shall make a record of the commencement of every disability and the termination thereof and, when bills are rendered for the care and treatment of injured workers,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p>
      <w:pPr>
        <w:jc w:val="center"/>
      </w:pPr>
      <w:r>
        <w:rPr>
          <w:b/>
        </w:rPr>
        <w:t>--- END ---</w:t>
      </w:r>
    </w:p>
    <w:sectPr>
      <w:pgNumType w:start="1"/>
      <w:footerReference xmlns:r="http://schemas.openxmlformats.org/officeDocument/2006/relationships" r:id="Rf6cdfa1ceb024c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450c2584754904" /><Relationship Type="http://schemas.openxmlformats.org/officeDocument/2006/relationships/footer" Target="/word/footer.xml" Id="Rf6cdfa1ceb024c6a" /></Relationships>
</file>