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1ae1106744c2d" /></Relationships>
</file>

<file path=word/document.xml><?xml version="1.0" encoding="utf-8"?>
<w:document xmlns:w="http://schemas.openxmlformats.org/wordprocessingml/2006/main">
  <w:body>
    <w:p>
      <w:r>
        <w:t>H-3268.1</w:t>
      </w:r>
    </w:p>
    <w:p>
      <w:pPr>
        <w:jc w:val="center"/>
      </w:pPr>
      <w:r>
        <w:t>_______________________________________________</w:t>
      </w:r>
    </w:p>
    <w:p/>
    <w:p>
      <w:pPr>
        <w:jc w:val="center"/>
      </w:pPr>
      <w:r>
        <w:rPr>
          <w:b/>
        </w:rPr>
        <w:t>HOUSE BILL 2370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and Sawyer</w:t>
      </w:r>
    </w:p>
    <w:p/>
    <w:p>
      <w:r>
        <w:rPr>
          <w:t xml:space="preserve">Read first time 01/12/16.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fantasy sports games; amending RCW 9.94A.515; adding new sections to chapter 9.46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fantasy sports games are games of chance rather than skill and therefore constitute illegal gambling under the laws of this state.</w:t>
      </w:r>
    </w:p>
    <w:p>
      <w:pPr>
        <w:spacing w:before="0" w:after="0" w:line="408" w:lineRule="exact"/>
        <w:ind w:left="0" w:right="0" w:firstLine="576"/>
        <w:jc w:val="left"/>
      </w:pPr>
      <w:r>
        <w:rPr/>
        <w:t xml:space="preserve">(2) The legislature further finds that fantasy sports games offer participants the opportunity to bet less than one dollar up to over ten thousand dollars per contest, with the chance to win upwards of one million dollars, and that operators of fantasy sports games often take a cut of between six percent to more than fourteen percent of the sum of participants' bets.</w:t>
      </w:r>
    </w:p>
    <w:p>
      <w:pPr>
        <w:spacing w:before="0" w:after="0" w:line="408" w:lineRule="exact"/>
        <w:ind w:left="0" w:right="0" w:firstLine="576"/>
        <w:jc w:val="left"/>
      </w:pPr>
      <w:r>
        <w:rPr/>
        <w:t xml:space="preserve">(3) The legislature further finds that structural characteristics of fantasy sports games make fantasy sports games particularly dangerous to problem gamblers, including the ability to make large bets, the offer of winning large payouts, the short interval between placing a bet and determining the bet's outcome, and the misperception that skill is the dominant determinant of the outcome.</w:t>
      </w:r>
    </w:p>
    <w:p>
      <w:pPr>
        <w:spacing w:before="0" w:after="0" w:line="408" w:lineRule="exact"/>
        <w:ind w:left="0" w:right="0" w:firstLine="576"/>
        <w:jc w:val="left"/>
      </w:pPr>
      <w:r>
        <w:rPr/>
        <w:t xml:space="preserve">(4) The legislature further finds that, in fantasy sports games, the relative success of a participant is determined almost entirely by the element of chance rather than the element of skill.</w:t>
      </w:r>
    </w:p>
    <w:p>
      <w:pPr>
        <w:spacing w:before="0" w:after="0" w:line="408" w:lineRule="exact"/>
        <w:ind w:left="0" w:right="0" w:firstLine="576"/>
        <w:jc w:val="left"/>
      </w:pPr>
      <w:r>
        <w:rPr/>
        <w:t xml:space="preserve">(5) The legislature further finds that at least one major operator of fantasy sports games has made public statements describing the operator's fantasy sports games as gambling and that the operator's web site included keywords related to gambling hidden in the web site's computer code designed to lead internet search engines to suggest the operator's web site to internet users searching for gambling.</w:t>
      </w:r>
    </w:p>
    <w:p>
      <w:pPr>
        <w:spacing w:before="0" w:after="0" w:line="408" w:lineRule="exact"/>
        <w:ind w:left="0" w:right="0" w:firstLine="576"/>
        <w:jc w:val="left"/>
      </w:pPr>
      <w:r>
        <w:rPr/>
        <w:t xml:space="preserve">(6) The legislature further finds that, as reported in November 2015 by British journalist John Oliver, some operators of fantasy sports games have secured gambling licenses necessary to operate their fantasy sports games as legal sports betting operations in Europe, and that authorities in the United States are actively investigating or prosecuting some operators of fantasy sports games for violations of gambling laws.</w:t>
      </w:r>
    </w:p>
    <w:p>
      <w:pPr>
        <w:spacing w:before="0" w:after="0" w:line="408" w:lineRule="exact"/>
        <w:ind w:left="0" w:right="0" w:firstLine="576"/>
        <w:jc w:val="left"/>
      </w:pPr>
      <w:r>
        <w:rPr/>
        <w:t xml:space="preserve">(7) The legislature further finds that operators of fantasy sports games have caused the state of Washington to be inundated with advertisements intended to entice Washington citizens into placing illegal wagers on the collective performance of individuals participating in sporting events, in violation of Washington statute, the state Constitution and, potentially, federal law.</w:t>
      </w:r>
    </w:p>
    <w:p>
      <w:pPr>
        <w:spacing w:before="0" w:after="0" w:line="408" w:lineRule="exact"/>
        <w:ind w:left="0" w:right="0" w:firstLine="576"/>
        <w:jc w:val="left"/>
      </w:pPr>
      <w:r>
        <w:rPr/>
        <w:t xml:space="preserve">(8) The legislature further finds that operators of fantasy sports companies are misleading consumers about consumers' chances of winning money through the use of advertising slogans, such as "The giant check is no myth . . . become a millionaire!" and "taking home your share is simple: Just pick your sport, pick your players, and pick your cash. That's it. It's the simplest way of winning life-changing piles of cash."</w:t>
      </w:r>
    </w:p>
    <w:p>
      <w:pPr>
        <w:spacing w:before="0" w:after="0" w:line="408" w:lineRule="exact"/>
        <w:ind w:left="0" w:right="0" w:firstLine="576"/>
        <w:jc w:val="left"/>
      </w:pPr>
      <w:r>
        <w:rPr/>
        <w:t xml:space="preserve">(9) The legislature therefore intends to expressly prohibit fantasy sports games in the state of Washington in which a participant provides valuable consideration of any kind, and to impose criminal sanctions on those who offer for play, operate, or advertise such games.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Fantasy sports games in which a participant provides valuable consideration of any kind are a form of illegal gambling and are therefore prohibited. It is unlawful to offer for play, operate, or advertise a fantasy sports game in this state.</w:t>
      </w:r>
    </w:p>
    <w:p>
      <w:pPr>
        <w:spacing w:before="0" w:after="0" w:line="408" w:lineRule="exact"/>
        <w:ind w:left="0" w:right="0" w:firstLine="576"/>
        <w:jc w:val="left"/>
      </w:pPr>
      <w:r>
        <w:rPr/>
        <w:t xml:space="preserve">(2) A violation of this section is a class C felony as defined in RCW 9A.20.021.  </w:t>
      </w:r>
    </w:p>
    <w:p>
      <w:pPr>
        <w:spacing w:before="0" w:after="0" w:line="408" w:lineRule="exact"/>
        <w:ind w:left="0" w:right="0" w:firstLine="576"/>
        <w:jc w:val="left"/>
      </w:pPr>
      <w:r>
        <w:rPr/>
        <w:t xml:space="preserve">(3) As used in this section, "fantasy sports game" means an imaginary or simulated game or contest, of any duration, and that contains the following elements:</w:t>
      </w:r>
    </w:p>
    <w:p>
      <w:pPr>
        <w:spacing w:before="0" w:after="0" w:line="408" w:lineRule="exact"/>
        <w:ind w:left="0" w:right="0" w:firstLine="576"/>
        <w:jc w:val="left"/>
      </w:pPr>
      <w:r>
        <w:rPr/>
        <w:t xml:space="preserve">(a) Participation in the game that requires a player to provide valuable consideration of any kind including, but not limited to, a fee, charge, bet, wager, promise to pay, or other thing of value, to another individual or entity;</w:t>
      </w:r>
    </w:p>
    <w:p>
      <w:pPr>
        <w:spacing w:before="0" w:after="0" w:line="408" w:lineRule="exact"/>
        <w:ind w:left="0" w:right="0" w:firstLine="576"/>
        <w:jc w:val="left"/>
      </w:pPr>
      <w:r>
        <w:rPr/>
        <w:t xml:space="preserve">(b) A player competes against other players or a target score, or other benchmark, as the owner, manager, or coach of an imaginary or simulated team of athletes that compete in imaginary or simulated games; and</w:t>
      </w:r>
    </w:p>
    <w:p>
      <w:pPr>
        <w:spacing w:before="0" w:after="0" w:line="408" w:lineRule="exact"/>
        <w:ind w:left="0" w:right="0" w:firstLine="576"/>
        <w:jc w:val="left"/>
      </w:pPr>
      <w:r>
        <w:rPr/>
        <w:t xml:space="preserve">(c) The game involves the use of statistics accumulated by the athletes in real-world sporting events to determine the scores or outcomes of imaginary or simulated games.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It is unlawful to advertise a fantasy sports game in this state. For the purposes of this section, each discrete advertisement constitutes a separate offense.</w:t>
      </w:r>
    </w:p>
    <w:p>
      <w:pPr>
        <w:spacing w:before="0" w:after="0" w:line="408" w:lineRule="exact"/>
        <w:ind w:left="0" w:right="0" w:firstLine="576"/>
        <w:jc w:val="left"/>
      </w:pPr>
      <w:r>
        <w:rPr/>
        <w:t xml:space="preserve">(2) A violation of this section is a class C felony as defined in RCW 9A.20.021.</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"Advertise" means to disseminate, circulate, or place before the public, or cause to be disseminated, circulated, or placed before the public, directly or indirectly, through any medium, a message or announcement that is intended to cause or encourage a person to participate in a fantasy sports game.</w:t>
      </w:r>
    </w:p>
    <w:p>
      <w:pPr>
        <w:spacing w:before="0" w:after="0" w:line="408" w:lineRule="exact"/>
        <w:ind w:left="0" w:right="0" w:firstLine="576"/>
        <w:jc w:val="left"/>
      </w:pPr>
      <w:r>
        <w:rPr/>
        <w:t xml:space="preserve">(b)"Fantasy sports game"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in sections 2 and 3 of this act are matters vitally affecting the public interest for the purpose of applying the consumer protection act, chapter 19.86 RCW. A violation of section 2 or 3 of this act is not reasonable in relation to the development and preservation of business. A violation of section 2 or 3 of this act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 Advertising of Fantasy Sports Game (section 3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 Operation of Fantasy Sports Game (section 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6f55d79dc8d344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730295c5f4cad" /><Relationship Type="http://schemas.openxmlformats.org/officeDocument/2006/relationships/footer" Target="/word/footer.xml" Id="R6f55d79dc8d34456" /></Relationships>
</file>