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21d2324bc496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Lytton, Magendanz, Sullivan, Caldier, Kochmar, Rossetti, Muri, Haler, and Santos)</w:t>
      </w:r>
    </w:p>
    <w:p/>
    <w:p>
      <w:r>
        <w:rPr>
          <w:t xml:space="preserve">READ FIRST TIME 01/25/16.  </w:t>
        </w:rPr>
      </w:r>
    </w:p>
    <w:p>
      <w:r>
        <w:br/>
      </w:r>
    </w:p>
    <w:p>
      <w:r>
        <w:fldChar w:fldCharType="begin"/>
      </w:r>
      <w:r>
        <w:instrText xml:space="default"> ADVANCE \y328 </w:instrText>
      </w:r>
      <w:r>
        <w:fldChar w:fldCharType="end"/>
      </w:r>
    </w:p>
    <w:p>
      <w:pPr>
        <w:ind w:left="0" w:right="0" w:firstLine="360"/>
        <w:jc w:val="both"/>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ind w:left="0" w:right="0" w:firstLine="360"/>
        <w:jc w:val="both"/>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ind w:left="0" w:right="0" w:firstLine="360"/>
        <w:jc w:val="both"/>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ind w:left="0" w:right="0" w:firstLine="360"/>
        <w:jc w:val="both"/>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ind w:left="0" w:right="0" w:firstLine="360"/>
        <w:jc w:val="both"/>
      </w:pPr>
      <w:r>
        <w:rPr/>
        <w:t xml:space="preserve">(a) A system for future salary adjustments should be incorporated into the salary allocation model and if so, the method for providing the adjustment; and</w:t>
      </w:r>
    </w:p>
    <w:p>
      <w:pPr>
        <w:ind w:left="0" w:right="0" w:firstLine="360"/>
        <w:jc w:val="both"/>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ind w:left="0" w:right="0" w:firstLine="360"/>
        <w:jc w:val="both"/>
      </w:pPr>
      <w:r>
        <w:rPr/>
        <w:t xml:space="preserve">(3) The task force must review available information to determine whether additional state legislation is needed to help school districts to support state-funded all-day kindergarten and class size reduction in kindergarten through third grade.</w:t>
      </w:r>
    </w:p>
    <w:p>
      <w:pPr>
        <w:ind w:left="0" w:right="0" w:firstLine="360"/>
        <w:jc w:val="both"/>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ind w:left="0" w:right="0" w:firstLine="360"/>
        <w:jc w:val="both"/>
      </w:pPr>
      <w:r>
        <w:rPr/>
        <w:t xml:space="preserve">(5) The task force must also make recommendations regarding:</w:t>
      </w:r>
    </w:p>
    <w:p>
      <w:pPr>
        <w:ind w:left="0" w:right="0" w:firstLine="360"/>
        <w:jc w:val="both"/>
      </w:pPr>
      <w:r>
        <w:rPr/>
        <w:t xml:space="preserve">(a) Local maintenance and operation levies and local effort assistance;</w:t>
      </w:r>
    </w:p>
    <w:p>
      <w:pPr>
        <w:ind w:left="0" w:right="0" w:firstLine="360"/>
        <w:jc w:val="both"/>
      </w:pPr>
      <w:r>
        <w:rPr/>
        <w:t xml:space="preserve">(b) Local school district collective bargaining;</w:t>
      </w:r>
    </w:p>
    <w:p>
      <w:pPr>
        <w:ind w:left="0" w:right="0" w:firstLine="360"/>
        <w:jc w:val="both"/>
      </w:pPr>
      <w:r>
        <w:rPr/>
        <w:t xml:space="preserve">(c) Clarifying the distinction between services provided as part of the state's statutory program of basic education and services that may be provided as local enrichment; </w:t>
      </w:r>
    </w:p>
    <w:p>
      <w:pPr>
        <w:ind w:left="0" w:right="0" w:firstLine="360"/>
        <w:jc w:val="both"/>
      </w:pPr>
      <w:r>
        <w:rPr/>
        <w:t xml:space="preserve">(d) Required district reporting, accounting, and transparency of data and expenditures;</w:t>
      </w:r>
    </w:p>
    <w:p>
      <w:pPr>
        <w:ind w:left="0" w:right="0" w:firstLine="360"/>
        <w:jc w:val="both"/>
      </w:pPr>
      <w:r>
        <w:rPr/>
        <w:t xml:space="preserve">(e) The provision and funding method for school employee health benefits; and</w:t>
      </w:r>
    </w:p>
    <w:p>
      <w:pPr>
        <w:ind w:left="0" w:right="0" w:firstLine="360"/>
        <w:jc w:val="both"/>
      </w:pPr>
      <w:r>
        <w:rPr/>
        <w:t xml:space="preserve">(f) Sources of state revenue to support the state's statutory program of basic education.</w:t>
      </w:r>
    </w:p>
    <w:p>
      <w:pPr>
        <w:ind w:left="0" w:right="0" w:firstLine="360"/>
        <w:jc w:val="both"/>
      </w:pPr>
      <w:r>
        <w:rPr/>
        <w:t xml:space="preserve">(6) The task force consists of the following members:</w:t>
      </w:r>
    </w:p>
    <w:p>
      <w:pPr>
        <w:ind w:left="0" w:right="0" w:firstLine="360"/>
        <w:jc w:val="both"/>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ind w:left="0" w:right="0" w:firstLine="360"/>
        <w:jc w:val="both"/>
      </w:pPr>
      <w:r>
        <w:rPr/>
        <w:t xml:space="preserve">(b) The governor or the governor's designee as a nonvoting member to serve as facilitator.</w:t>
      </w:r>
    </w:p>
    <w:p>
      <w:pPr>
        <w:ind w:left="0" w:right="0" w:firstLine="360"/>
        <w:jc w:val="both"/>
      </w:pPr>
      <w:r>
        <w:rPr/>
        <w:t xml:space="preserve">(7) Recommendations of the task force require the affirmative vote of five of its members.</w:t>
      </w:r>
    </w:p>
    <w:p>
      <w:pPr>
        <w:ind w:left="0" w:right="0" w:firstLine="360"/>
        <w:jc w:val="both"/>
      </w:pPr>
      <w:r>
        <w:rPr/>
        <w:t xml:space="preserve">(8) Staff support for the task force must be provided by the house of representatives office of program research and senate committee services, with additional staff support provided by the office of financial management.</w:t>
      </w:r>
    </w:p>
    <w:p>
      <w:pPr>
        <w:ind w:left="0" w:right="0" w:firstLine="360"/>
        <w:jc w:val="both"/>
      </w:pPr>
      <w:r>
        <w:rPr/>
        <w:t xml:space="preserve">(9) Meetings of the task force shall comply with Joint Rule 10, Senate Rule 45, and House of Representatives Rule 24.</w:t>
      </w:r>
    </w:p>
    <w:p>
      <w:pPr>
        <w:ind w:left="0" w:right="0" w:firstLine="360"/>
        <w:jc w:val="both"/>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ind w:left="0" w:right="0" w:firstLine="360"/>
        <w:jc w:val="both"/>
      </w:pPr>
      <w:r>
        <w:rPr/>
        <w:t xml:space="preserve">(11) The task force recommendations and any supporting legislation must be submitted to the legislature by January 9,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ind w:left="0" w:right="0" w:firstLine="360"/>
        <w:jc w:val="both"/>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ind w:left="0" w:right="0" w:firstLine="360"/>
        <w:jc w:val="both"/>
      </w:pPr>
      <w:r>
        <w:rPr/>
        <w:t xml:space="preserve">(b) Identify market rate salaries that are comparable to each of the staff types in the prototypical school funding model; and</w:t>
      </w:r>
    </w:p>
    <w:p>
      <w:pPr>
        <w:ind w:left="0" w:right="0" w:firstLine="360"/>
        <w:jc w:val="both"/>
      </w:pPr>
      <w:r>
        <w:rPr/>
        <w:t xml:space="preserve">(c) Provide analysis regarding whether a local labor market adjustment formula should be implemented and if so which market adjustment factors and methods should be used.</w:t>
      </w:r>
    </w:p>
    <w:p>
      <w:pPr>
        <w:ind w:left="0" w:right="0" w:firstLine="360"/>
        <w:jc w:val="both"/>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ind w:left="0" w:right="0" w:firstLine="360"/>
        <w:jc w:val="both"/>
      </w:pPr>
      <w:r>
        <w:rPr/>
        <w:t xml:space="preserve">(3) The consultant must provide an interim report to the education funding task force and the governor by September 1, 2016.</w:t>
      </w:r>
    </w:p>
    <w:p>
      <w:pPr>
        <w:ind w:left="0" w:right="0" w:firstLine="360"/>
        <w:jc w:val="both"/>
      </w:pPr>
      <w:r>
        <w:rPr/>
        <w:t xml:space="preserve">(4) The consultant's final data and analysis must be provided to the education funding task force and the governor by November 15,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ind w:left="0" w:right="0" w:firstLine="360"/>
        <w:jc w:val="both"/>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e0e22cd88b5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2ffbbb9e8247ca" /><Relationship Type="http://schemas.openxmlformats.org/officeDocument/2006/relationships/footer" Target="/word/footer.xml" Id="R7e0e22cd88b5489e" /></Relationships>
</file>