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d77f86d364b35" /></Relationships>
</file>

<file path=word/document.xml><?xml version="1.0" encoding="utf-8"?>
<w:document xmlns:w="http://schemas.openxmlformats.org/wordprocessingml/2006/main">
  <w:body>
    <w:p>
      <w:r>
        <w:t>H-3352.1</w:t>
      </w:r>
    </w:p>
    <w:p>
      <w:pPr>
        <w:jc w:val="center"/>
      </w:pPr>
      <w:r>
        <w:t>_______________________________________________</w:t>
      </w:r>
    </w:p>
    <w:p/>
    <w:p>
      <w:pPr>
        <w:jc w:val="center"/>
      </w:pPr>
      <w:r>
        <w:rPr>
          <w:b/>
        </w:rPr>
        <w:t>HOUSE BILL 2360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Magendanz, Sullivan, Reykdal, Rossetti, and Santos</w:t>
      </w:r>
    </w:p>
    <w:p/>
    <w:p>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quality education council; amending RCW 28A.175.075, 28A.230.090, 28A.300.136, and 28A.400.201; and repealing RCW 28A.290.010 and 28A.290.020.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spacing w:before="0" w:after="0" w:line="408" w:lineRule="exact"/>
        <w:ind w:left="0" w:right="0" w:firstLine="576"/>
        <w:jc w:val="left"/>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spacing w:before="0" w:after="0" w:line="408" w:lineRule="exact"/>
        <w:ind w:left="0" w:right="0" w:firstLine="576"/>
        <w:jc w:val="left"/>
      </w:pPr>
      <w:r>
        <w:rPr/>
        <w:t xml:space="preserve">(2) The committee shall recommend specific policies and strategies in at least the following areas:</w:t>
      </w:r>
    </w:p>
    <w:p>
      <w:pPr>
        <w:spacing w:before="0" w:after="0" w:line="408" w:lineRule="exact"/>
        <w:ind w:left="0" w:right="0" w:firstLine="576"/>
        <w:jc w:val="left"/>
      </w:pPr>
      <w:r>
        <w:rPr/>
        <w:t xml:space="preserve">(a) Supporting and facilitating parent and community involvement and outreach;</w:t>
      </w:r>
    </w:p>
    <w:p>
      <w:pPr>
        <w:spacing w:before="0" w:after="0" w:line="408" w:lineRule="exact"/>
        <w:ind w:left="0" w:right="0" w:firstLine="576"/>
        <w:jc w:val="left"/>
      </w:pPr>
      <w:r>
        <w:rPr/>
        <w:t xml:space="preserve">(b) Enhancing the cultural competency of current and future educators and the cultural relevance of curriculum and instruction;</w:t>
      </w:r>
    </w:p>
    <w:p>
      <w:pPr>
        <w:spacing w:before="0" w:after="0" w:line="408" w:lineRule="exact"/>
        <w:ind w:left="0" w:right="0" w:firstLine="576"/>
        <w:jc w:val="left"/>
      </w:pPr>
      <w:r>
        <w:rPr/>
        <w:t xml:space="preserve">(c) Expanding pathways and strategies to prepare and recruit diverse teachers and administrators;</w:t>
      </w:r>
    </w:p>
    <w:p>
      <w:pPr>
        <w:spacing w:before="0" w:after="0" w:line="408" w:lineRule="exact"/>
        <w:ind w:left="0" w:right="0" w:firstLine="576"/>
        <w:jc w:val="left"/>
      </w:pPr>
      <w:r>
        <w:rPr/>
        <w:t xml:space="preserve">(d) Recommending current programs and resources that should be redirected to narrow the gap;</w:t>
      </w:r>
    </w:p>
    <w:p>
      <w:pPr>
        <w:spacing w:before="0" w:after="0" w:line="408" w:lineRule="exact"/>
        <w:ind w:left="0" w:right="0" w:firstLine="576"/>
        <w:jc w:val="left"/>
      </w:pPr>
      <w:r>
        <w:rPr/>
        <w:t xml:space="preserve">(e) Identifying data elements and systems needed to monitor progress in closing the gap;</w:t>
      </w:r>
    </w:p>
    <w:p>
      <w:pPr>
        <w:spacing w:before="0" w:after="0" w:line="408" w:lineRule="exact"/>
        <w:ind w:left="0" w:right="0" w:firstLine="576"/>
        <w:jc w:val="left"/>
      </w:pPr>
      <w:r>
        <w:rPr/>
        <w:t xml:space="preserve">(f) Making closing the achievement gap part of the school and school district improvement process; and</w:t>
      </w:r>
    </w:p>
    <w:p>
      <w:pPr>
        <w:spacing w:before="0" w:after="0" w:line="408" w:lineRule="exact"/>
        <w:ind w:left="0" w:right="0" w:firstLine="576"/>
        <w:jc w:val="left"/>
      </w:pPr>
      <w:r>
        <w:rPr/>
        <w:t xml:space="preserve">(g) Exploring innovative school models that have shown success in closing the achievement gap.</w:t>
      </w:r>
    </w:p>
    <w:p>
      <w:pPr>
        <w:spacing w:before="0" w:after="0" w:line="408" w:lineRule="exact"/>
        <w:ind w:left="0" w:right="0" w:firstLine="576"/>
        <w:jc w:val="left"/>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spacing w:before="0" w:after="0" w:line="408" w:lineRule="exact"/>
        <w:ind w:left="0" w:right="0" w:firstLine="576"/>
        <w:jc w:val="left"/>
      </w:pPr>
      <w:r>
        <w:rPr/>
        <w:t xml:space="preserve">(4) The educational opportunity gap oversight and accountability committee shall be composed of the following members:</w:t>
      </w:r>
    </w:p>
    <w:p>
      <w:pPr>
        <w:spacing w:before="0" w:after="0" w:line="408" w:lineRule="exact"/>
        <w:ind w:left="0" w:right="0" w:firstLine="576"/>
        <w:jc w:val="left"/>
      </w:pPr>
      <w:r>
        <w:rPr/>
        <w:t xml:space="preserve">(a) The chairs and ranking minority members of the house and senate education committees, or their designees;</w:t>
      </w:r>
    </w:p>
    <w:p>
      <w:pPr>
        <w:spacing w:before="0" w:after="0" w:line="408" w:lineRule="exact"/>
        <w:ind w:left="0" w:right="0" w:firstLine="576"/>
        <w:jc w:val="left"/>
      </w:pPr>
      <w:r>
        <w:rPr/>
        <w:t xml:space="preserve">(b) One additional member of the house of representatives appointed by the speaker of the house and one additional member of the senate appointed by the president of the senate;</w:t>
      </w:r>
    </w:p>
    <w:p>
      <w:pPr>
        <w:spacing w:before="0" w:after="0" w:line="408" w:lineRule="exact"/>
        <w:ind w:left="0" w:right="0" w:firstLine="576"/>
        <w:jc w:val="left"/>
      </w:pPr>
      <w:r>
        <w:rPr/>
        <w:t xml:space="preserve">(c) A representative of the office of the education ombuds;</w:t>
      </w:r>
    </w:p>
    <w:p>
      <w:pPr>
        <w:spacing w:before="0" w:after="0" w:line="408" w:lineRule="exact"/>
        <w:ind w:left="0" w:right="0" w:firstLine="576"/>
        <w:jc w:val="left"/>
      </w:pPr>
      <w:r>
        <w:rPr/>
        <w:t xml:space="preserve">(d) A representative of the center for the improvement of student learning in the office of the superintendent of public instruction;</w:t>
      </w:r>
    </w:p>
    <w:p>
      <w:pPr>
        <w:spacing w:before="0" w:after="0" w:line="408" w:lineRule="exact"/>
        <w:ind w:left="0" w:right="0" w:firstLine="576"/>
        <w:jc w:val="left"/>
      </w:pPr>
      <w:r>
        <w:rPr/>
        <w:t xml:space="preserve">(e)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(f) Four members appointed by the governor in consultation with the state ethnic commissions, who represent the following populations: African-Americans, Hispanic Americans, Asian Americans, and Pacific Islander Americans.</w:t>
      </w:r>
    </w:p>
    <w:p>
      <w:pPr>
        <w:spacing w:before="0" w:after="0" w:line="408" w:lineRule="exact"/>
        <w:ind w:left="0" w:right="0" w:firstLine="576"/>
        <w:jc w:val="left"/>
      </w:pPr>
      <w:r>
        <w:rPr/>
        <w:t xml:space="preserve">(5) The governor and the tribes are encouraged to designate members who have experience working in and with schools.</w:t>
      </w:r>
    </w:p>
    <w:p>
      <w:pPr>
        <w:spacing w:before="0" w:after="0" w:line="408" w:lineRule="exact"/>
        <w:ind w:left="0" w:right="0" w:firstLine="576"/>
        <w:jc w:val="left"/>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spacing w:before="0" w:after="0" w:line="408" w:lineRule="exact"/>
        <w:ind w:left="0" w:right="0" w:firstLine="576"/>
        <w:jc w:val="left"/>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spacing w:before="0" w:after="0" w:line="408" w:lineRule="exact"/>
        <w:ind w:left="0" w:right="0" w:firstLine="576"/>
        <w:jc w:val="left"/>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spacing w:before="0" w:after="0" w:line="408" w:lineRule="exact"/>
        <w:ind w:left="0" w:right="0" w:firstLine="576"/>
        <w:jc w:val="left"/>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spacing w:before="0" w:after="0" w:line="408" w:lineRule="exact"/>
        <w:ind w:left="0" w:right="0" w:firstLine="576"/>
        <w:jc w:val="left"/>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spacing w:before="0" w:after="0" w:line="408" w:lineRule="exact"/>
        <w:ind w:left="0" w:right="0" w:firstLine="576"/>
        <w:jc w:val="left"/>
      </w:pPr>
      <w:r>
        <w:rPr/>
        <w:t xml:space="preserve">(a) How to reduce the number of tiers within the existing salary allocation model;</w:t>
      </w:r>
    </w:p>
    <w:p>
      <w:pPr>
        <w:spacing w:before="0" w:after="0" w:line="408" w:lineRule="exact"/>
        <w:ind w:left="0" w:right="0" w:firstLine="576"/>
        <w:jc w:val="left"/>
      </w:pPr>
      <w:r>
        <w:rPr/>
        <w:t xml:space="preserve">(b) How to account for labor market adjustments;</w:t>
      </w:r>
    </w:p>
    <w:p>
      <w:pPr>
        <w:spacing w:before="0" w:after="0" w:line="408" w:lineRule="exact"/>
        <w:ind w:left="0" w:right="0" w:firstLine="576"/>
        <w:jc w:val="left"/>
      </w:pPr>
      <w:r>
        <w:rPr/>
        <w:t xml:space="preserve">(c) How to account for different geographic regions of the state where districts may encounter difficulty recruiting and retaining teachers;</w:t>
      </w:r>
    </w:p>
    <w:p>
      <w:pPr>
        <w:spacing w:before="0" w:after="0" w:line="408" w:lineRule="exact"/>
        <w:ind w:left="0" w:right="0" w:firstLine="576"/>
        <w:jc w:val="left"/>
      </w:pPr>
      <w:r>
        <w:rPr/>
        <w:t xml:space="preserve">(d) The role of and types of bonuses available;</w:t>
      </w:r>
    </w:p>
    <w:p>
      <w:pPr>
        <w:spacing w:before="0" w:after="0" w:line="408" w:lineRule="exact"/>
        <w:ind w:left="0" w:right="0" w:firstLine="576"/>
        <w:jc w:val="left"/>
      </w:pPr>
      <w:r>
        <w:rPr/>
        <w:t xml:space="preserve">(e) Ways to accomplish salary equalization over a set number of years; and</w:t>
      </w:r>
    </w:p>
    <w:p>
      <w:pPr>
        <w:spacing w:before="0" w:after="0" w:line="408" w:lineRule="exact"/>
        <w:ind w:left="0" w:right="0" w:firstLine="576"/>
        <w:jc w:val="left"/>
      </w:pPr>
      <w:r>
        <w:rPr/>
        <w:t xml:space="preserve">(f) Initial fiscal estimates for implementing the recommendations including a recognition that staff on the existing salary allocation model would have the option to grandfather in permanently to the existing schedule.</w:t>
      </w:r>
    </w:p>
    <w:p>
      <w:pPr>
        <w:spacing w:before="0" w:after="0" w:line="408" w:lineRule="exact"/>
        <w:ind w:left="0" w:right="0" w:firstLine="576"/>
        <w:jc w:val="left"/>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spacing w:before="0" w:after="0" w:line="408" w:lineRule="exact"/>
        <w:ind w:left="0" w:right="0" w:firstLine="576"/>
        <w:jc w:val="left"/>
      </w:pPr>
      <w:r>
        <w:rPr/>
        <w:t xml:space="preserve">(4) The analysis required under subsection (1) of this section must:</w:t>
      </w:r>
    </w:p>
    <w:p>
      <w:pPr>
        <w:spacing w:before="0" w:after="0" w:line="408" w:lineRule="exact"/>
        <w:ind w:left="0" w:right="0" w:firstLine="576"/>
        <w:jc w:val="left"/>
      </w:pPr>
      <w:r>
        <w:rPr/>
        <w:t xml:space="preserve">(a) Examine salaries and other compensation for teachers, other certificated instructional staff, principals, and other building-level certificated administrators, and the types of classified employees for whom salaries are allocated;</w:t>
      </w:r>
    </w:p>
    <w:p>
      <w:pPr>
        <w:spacing w:before="0" w:after="0" w:line="408" w:lineRule="exact"/>
        <w:ind w:left="0" w:right="0" w:firstLine="576"/>
        <w:jc w:val="left"/>
      </w:pPr>
      <w:r>
        <w:rPr/>
        <w:t xml:space="preserve">(b) Be calculated at a statewide level that identifies labor markets in Washington through the use of data from the United States bureau of the census and the bureau of labor statistics; and</w:t>
      </w:r>
    </w:p>
    <w:p>
      <w:pPr>
        <w:spacing w:before="0" w:after="0" w:line="408" w:lineRule="exact"/>
        <w:ind w:left="0" w:right="0" w:firstLine="576"/>
        <w:jc w:val="left"/>
      </w:pPr>
      <w:r>
        <w:rPr/>
        <w:t xml:space="preserve">(c) Include a comparison of salaries and other compensation to the appropriate labor market for at least the following subgroups of educators: Beginning teachers and types of educational staff associates.</w:t>
      </w:r>
    </w:p>
    <w:p>
      <w:pPr>
        <w:spacing w:before="0" w:after="0" w:line="408" w:lineRule="exact"/>
        <w:ind w:left="0" w:right="0" w:firstLine="576"/>
        <w:jc w:val="left"/>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spacing w:before="0" w:after="0" w:line="408" w:lineRule="exact"/>
        <w:ind w:left="0" w:right="0" w:firstLine="576"/>
        <w:jc w:val="left"/>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spacing w:before="0" w:after="0" w:line="408" w:lineRule="exact"/>
        <w:ind w:left="0" w:right="0" w:firstLine="576"/>
        <w:jc w:val="left"/>
      </w:pPr>
      <w:r>
        <w:t>(2)</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
      <w:pPr>
        <w:jc w:val="center"/>
      </w:pPr>
      <w:r>
        <w:rPr>
          <w:b/>
        </w:rPr>
        <w:t>--- END ---</w:t>
      </w:r>
    </w:p>
    <w:sectPr>
      <w:pgNumType w:start="1"/>
      <w:footerReference xmlns:r="http://schemas.openxmlformats.org/officeDocument/2006/relationships" r:id="R69753597e12848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5356a8be1c4c8a" /><Relationship Type="http://schemas.openxmlformats.org/officeDocument/2006/relationships/footer" Target="/word/footer.xml" Id="R69753597e1284816" /></Relationships>
</file>