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f55e2e05248d9" /></Relationships>
</file>

<file path=word/document.xml><?xml version="1.0" encoding="utf-8"?>
<w:document xmlns:w="http://schemas.openxmlformats.org/wordprocessingml/2006/main">
  <w:body>
    <w:p>
      <w:r>
        <w:t>H-3239.2</w:t>
      </w:r>
    </w:p>
    <w:p>
      <w:pPr>
        <w:jc w:val="center"/>
      </w:pPr>
      <w:r>
        <w:t>_______________________________________________</w:t>
      </w:r>
    </w:p>
    <w:p/>
    <w:p>
      <w:pPr>
        <w:jc w:val="center"/>
      </w:pPr>
      <w:r>
        <w:rPr>
          <w:b/>
        </w:rPr>
        <w:t>HOUSE BILL 2354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Moeller, S. Hunt, Walkinshaw, Appleton, Senn, Santos, and Pollet</w:t>
      </w:r>
    </w:p>
    <w:p/>
    <w:p>
      <w:r>
        <w:rPr>
          <w:t xml:space="preserve">Prefiled 01/05/16.</w:t>
        </w:rPr>
      </w:r>
      <w:r>
        <w:rPr>
          <w:t xml:space="preserve">Read first time 01/11/16.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assault weapons and large capacity magazines; amending RCW 9.41.010 and 9.94A.515;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2015 c 1 s 2 (Initiative Measure No. 594)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(4)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(5) "Family or household member" means "family" or "household member" as used in RCW 10.99.020.</w:t>
      </w:r>
    </w:p>
    <w:p>
      <w:pPr>
        <w:spacing w:before="0" w:after="0" w:line="408" w:lineRule="exact"/>
        <w:ind w:left="0" w:right="0" w:firstLine="576"/>
        <w:jc w:val="left"/>
      </w:pPr>
      <w:r>
        <w:rPr/>
        <w:t xml:space="preserve">(6)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(7)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(8)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(9) "Firearm" means a weapon or device from which a projectile or projectiles may be fired by an explosive such as gunpowder.</w:t>
      </w:r>
    </w:p>
    <w:p>
      <w:pPr>
        <w:spacing w:before="0" w:after="0" w:line="408" w:lineRule="exact"/>
        <w:ind w:left="0" w:right="0" w:firstLine="576"/>
        <w:jc w:val="left"/>
      </w:pPr>
      <w:r>
        <w:rPr/>
        <w:t xml:space="preserve">(10) "Gun" has the same meaning as firearm.</w:t>
      </w:r>
    </w:p>
    <w:p>
      <w:pPr>
        <w:spacing w:before="0" w:after="0" w:line="408" w:lineRule="exact"/>
        <w:ind w:left="0" w:right="0" w:firstLine="576"/>
        <w:jc w:val="left"/>
      </w:pPr>
      <w:r>
        <w:rPr/>
        <w:t xml:space="preserve">(11)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(12) "Lawful permanent resident" has the same meaning afforded a person "lawfully admitted for permanent residence" in 8 U.S.C. Sec. 1101(a)(20).</w:t>
      </w:r>
    </w:p>
    <w:p>
      <w:pPr>
        <w:spacing w:before="0" w:after="0" w:line="408" w:lineRule="exact"/>
        <w:ind w:left="0" w:right="0" w:firstLine="576"/>
        <w:jc w:val="left"/>
      </w:pPr>
      <w:r>
        <w:rPr/>
        <w:t xml:space="preserve">(13) "Licensed dealer" means a person who is federally licensed under 18 U.S.C. Sec. 923(a).</w:t>
      </w:r>
    </w:p>
    <w:p>
      <w:pPr>
        <w:spacing w:before="0" w:after="0" w:line="408" w:lineRule="exact"/>
        <w:ind w:left="0" w:right="0" w:firstLine="576"/>
        <w:jc w:val="left"/>
      </w:pPr>
      <w:r>
        <w:rPr/>
        <w:t xml:space="preserve">(14)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(15)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(16) "Nonimmigrant alien" means a person defined as such in 8 U.S.C. Sec. 1101(a)(15).</w:t>
      </w:r>
    </w:p>
    <w:p>
      <w:pPr>
        <w:spacing w:before="0" w:after="0" w:line="408" w:lineRule="exact"/>
        <w:ind w:left="0" w:right="0" w:firstLine="576"/>
        <w:jc w:val="left"/>
      </w:pPr>
      <w:r>
        <w:rPr/>
        <w:t xml:space="preserve">(17)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(18)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(19)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(20) "Sale" and "sell" mean the actual approval of the delivery of a firearm in consideration of payment or promise of payment.</w:t>
      </w:r>
    </w:p>
    <w:p>
      <w:pPr>
        <w:spacing w:before="0" w:after="0" w:line="408" w:lineRule="exact"/>
        <w:ind w:left="0" w:right="0" w:firstLine="576"/>
        <w:jc w:val="left"/>
      </w:pPr>
      <w:r>
        <w:rPr/>
        <w:t xml:space="preserve">(21)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(22)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(23)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(24)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(25) "Transfer" means the intended delivery of a firearm to another person without consideration of payment or promise of payment including, but not limited to, gifts and loans.</w:t>
      </w:r>
    </w:p>
    <w:p>
      <w:pPr>
        <w:spacing w:before="0" w:after="0" w:line="408" w:lineRule="exact"/>
        <w:ind w:left="0" w:right="0" w:firstLine="576"/>
        <w:jc w:val="left"/>
      </w:pPr>
      <w:r>
        <w:rPr/>
        <w:t xml:space="preserve">(26) "Unlicensed person" means any person who is not a licensed dealer under this chapter.</w:t>
      </w:r>
    </w:p>
    <w:p>
      <w:pPr>
        <w:spacing w:before="0" w:after="0" w:line="408" w:lineRule="exact"/>
        <w:ind w:left="0" w:right="0" w:firstLine="576"/>
        <w:jc w:val="left"/>
      </w:pPr>
      <w:r>
        <w:rPr>
          <w:u w:val="single"/>
        </w:rPr>
        <w:t xml:space="preserve">(27) "Assault weapon" means:</w:t>
      </w:r>
    </w:p>
    <w:p>
      <w:pPr>
        <w:spacing w:before="0" w:after="0" w:line="408" w:lineRule="exact"/>
        <w:ind w:left="0" w:right="0" w:firstLine="576"/>
        <w:jc w:val="left"/>
      </w:pPr>
      <w:r>
        <w:rPr>
          <w:u w:val="single"/>
        </w:rPr>
        <w:t xml:space="preserve">(a) A semiautomatic rifle that has the capacity to accept a detachable magazine and has one or more of the following:</w:t>
      </w:r>
    </w:p>
    <w:p>
      <w:pPr>
        <w:spacing w:before="0" w:after="0" w:line="408" w:lineRule="exact"/>
        <w:ind w:left="0" w:right="0" w:firstLine="576"/>
        <w:jc w:val="left"/>
      </w:pPr>
      <w:r>
        <w:rPr>
          <w:u w:val="single"/>
        </w:rPr>
        <w:t xml:space="preserve">(i) A pistol grip or thumbhole stock;</w:t>
      </w:r>
    </w:p>
    <w:p>
      <w:pPr>
        <w:spacing w:before="0" w:after="0" w:line="408" w:lineRule="exact"/>
        <w:ind w:left="0" w:right="0" w:firstLine="576"/>
        <w:jc w:val="left"/>
      </w:pPr>
      <w:r>
        <w:rPr>
          <w:u w:val="single"/>
        </w:rPr>
        <w:t xml:space="preserve">(ii) Any feature capable of functioning as a protruding grip that can be held by the nontrigger hand;</w:t>
      </w:r>
    </w:p>
    <w:p>
      <w:pPr>
        <w:spacing w:before="0" w:after="0" w:line="408" w:lineRule="exact"/>
        <w:ind w:left="0" w:right="0" w:firstLine="576"/>
        <w:jc w:val="left"/>
      </w:pPr>
      <w:r>
        <w:rPr>
          <w:u w:val="single"/>
        </w:rPr>
        <w:t xml:space="preserve">(iii) A folding or telescoping stock;</w:t>
      </w:r>
    </w:p>
    <w:p>
      <w:pPr>
        <w:spacing w:before="0" w:after="0" w:line="408" w:lineRule="exact"/>
        <w:ind w:left="0" w:right="0" w:firstLine="576"/>
        <w:jc w:val="left"/>
      </w:pPr>
      <w:r>
        <w:rPr>
          <w:u w:val="single"/>
        </w:rPr>
        <w:t xml:space="preserve">(iv) A shroud attached to the barrel, or that partially or completely encircles the barrel, allowing the bearer to hold the firearm with the nontrigger hand without being burned, but excluding a slide that encloses the barrel;</w:t>
      </w:r>
    </w:p>
    <w:p>
      <w:pPr>
        <w:spacing w:before="0" w:after="0" w:line="408" w:lineRule="exact"/>
        <w:ind w:left="0" w:right="0" w:firstLine="576"/>
        <w:jc w:val="left"/>
      </w:pPr>
      <w:r>
        <w:rPr>
          <w:u w:val="single"/>
        </w:rPr>
        <w:t xml:space="preserve">(b) A semiautomatic pistol, or a semiautomatic, centerfire, or rimfire rifle with a fixed magazine, that has the capacity to accept more than ten rounds of ammunition;</w:t>
      </w:r>
    </w:p>
    <w:p>
      <w:pPr>
        <w:spacing w:before="0" w:after="0" w:line="408" w:lineRule="exact"/>
        <w:ind w:left="0" w:right="0" w:firstLine="576"/>
        <w:jc w:val="left"/>
      </w:pPr>
      <w:r>
        <w:rPr>
          <w:u w:val="single"/>
        </w:rPr>
        <w:t xml:space="preserve">(c) A semiautomatic pistol that has the capacity to accept a detachable magazine and has one or more of the following:</w:t>
      </w:r>
    </w:p>
    <w:p>
      <w:pPr>
        <w:spacing w:before="0" w:after="0" w:line="408" w:lineRule="exact"/>
        <w:ind w:left="0" w:right="0" w:firstLine="576"/>
        <w:jc w:val="left"/>
      </w:pPr>
      <w:r>
        <w:rPr>
          <w:u w:val="single"/>
        </w:rPr>
        <w:t xml:space="preserve">(i) Any feature capable of functioning as a protruding grip that can be held by the nontrigger hand;</w:t>
      </w:r>
    </w:p>
    <w:p>
      <w:pPr>
        <w:spacing w:before="0" w:after="0" w:line="408" w:lineRule="exact"/>
        <w:ind w:left="0" w:right="0" w:firstLine="576"/>
        <w:jc w:val="left"/>
      </w:pPr>
      <w:r>
        <w:rPr>
          <w:u w:val="single"/>
        </w:rPr>
        <w:t xml:space="preserve">(ii) A folding stock, telescoping stock, or thumbhole stock;</w:t>
      </w:r>
    </w:p>
    <w:p>
      <w:pPr>
        <w:spacing w:before="0" w:after="0" w:line="408" w:lineRule="exact"/>
        <w:ind w:left="0" w:right="0" w:firstLine="576"/>
        <w:jc w:val="left"/>
      </w:pPr>
      <w:r>
        <w:rPr>
          <w:u w:val="single"/>
        </w:rPr>
        <w:t xml:space="preserve">(iii) A shroud attached to the barrel, or that partially or completely encircles the barrel, allowing the bearer to hold the firearm with the nontrigger hand without being burned, but excluding a slide that encloses the barrel; or</w:t>
      </w:r>
    </w:p>
    <w:p>
      <w:pPr>
        <w:spacing w:before="0" w:after="0" w:line="408" w:lineRule="exact"/>
        <w:ind w:left="0" w:right="0" w:firstLine="576"/>
        <w:jc w:val="left"/>
      </w:pPr>
      <w:r>
        <w:rPr>
          <w:u w:val="single"/>
        </w:rPr>
        <w:t xml:space="preserve">(iv) The capacity to accept a detachable magazine at any location outside of the pistol grip;</w:t>
      </w:r>
    </w:p>
    <w:p>
      <w:pPr>
        <w:spacing w:before="0" w:after="0" w:line="408" w:lineRule="exact"/>
        <w:ind w:left="0" w:right="0" w:firstLine="576"/>
        <w:jc w:val="left"/>
      </w:pPr>
      <w:r>
        <w:rPr>
          <w:u w:val="single"/>
        </w:rPr>
        <w:t xml:space="preserve">(d) A semiautomatic shotgun that has one or more of the following:</w:t>
      </w:r>
    </w:p>
    <w:p>
      <w:pPr>
        <w:spacing w:before="0" w:after="0" w:line="408" w:lineRule="exact"/>
        <w:ind w:left="0" w:right="0" w:firstLine="576"/>
        <w:jc w:val="left"/>
      </w:pPr>
      <w:r>
        <w:rPr>
          <w:u w:val="single"/>
        </w:rPr>
        <w:t xml:space="preserve">(i) A pistol grip or thumbhole stock;</w:t>
      </w:r>
    </w:p>
    <w:p>
      <w:pPr>
        <w:spacing w:before="0" w:after="0" w:line="408" w:lineRule="exact"/>
        <w:ind w:left="0" w:right="0" w:firstLine="576"/>
        <w:jc w:val="left"/>
      </w:pPr>
      <w:r>
        <w:rPr>
          <w:u w:val="single"/>
        </w:rPr>
        <w:t xml:space="preserve">(ii) Any feature capable of functioning as a protruding grip that can be held by the nontrigger hand;</w:t>
      </w:r>
    </w:p>
    <w:p>
      <w:pPr>
        <w:spacing w:before="0" w:after="0" w:line="408" w:lineRule="exact"/>
        <w:ind w:left="0" w:right="0" w:firstLine="576"/>
        <w:jc w:val="left"/>
      </w:pPr>
      <w:r>
        <w:rPr>
          <w:u w:val="single"/>
        </w:rPr>
        <w:t xml:space="preserve">(iii) A folding or telescoping stock;</w:t>
      </w:r>
    </w:p>
    <w:p>
      <w:pPr>
        <w:spacing w:before="0" w:after="0" w:line="408" w:lineRule="exact"/>
        <w:ind w:left="0" w:right="0" w:firstLine="576"/>
        <w:jc w:val="left"/>
      </w:pPr>
      <w:r>
        <w:rPr>
          <w:u w:val="single"/>
        </w:rPr>
        <w:t xml:space="preserve">(iv) A fixed magazine capacity in excess of five rounds; or</w:t>
      </w:r>
    </w:p>
    <w:p>
      <w:pPr>
        <w:spacing w:before="0" w:after="0" w:line="408" w:lineRule="exact"/>
        <w:ind w:left="0" w:right="0" w:firstLine="576"/>
        <w:jc w:val="left"/>
      </w:pPr>
      <w:r>
        <w:rPr>
          <w:u w:val="single"/>
        </w:rPr>
        <w:t xml:space="preserve">(v) An ability to accept a detachable magazine;</w:t>
      </w:r>
    </w:p>
    <w:p>
      <w:pPr>
        <w:spacing w:before="0" w:after="0" w:line="408" w:lineRule="exact"/>
        <w:ind w:left="0" w:right="0" w:firstLine="576"/>
        <w:jc w:val="left"/>
      </w:pPr>
      <w:r>
        <w:rPr>
          <w:u w:val="single"/>
        </w:rPr>
        <w:t xml:space="preserve">(e) A shotgun with a revolving cylinder; or</w:t>
      </w:r>
    </w:p>
    <w:p>
      <w:pPr>
        <w:spacing w:before="0" w:after="0" w:line="408" w:lineRule="exact"/>
        <w:ind w:left="0" w:right="0" w:firstLine="576"/>
        <w:jc w:val="left"/>
      </w:pPr>
      <w:r>
        <w:rPr>
          <w:u w:val="single"/>
        </w:rPr>
        <w:t xml:space="preserve">(f) A conversion kit, part, or combination of parts, from which an assault weapon can be assembled if those parts are in the possession or under the control of the same person.</w:t>
      </w:r>
    </w:p>
    <w:p>
      <w:pPr>
        <w:spacing w:before="0" w:after="0" w:line="408" w:lineRule="exact"/>
        <w:ind w:left="0" w:right="0" w:firstLine="576"/>
        <w:jc w:val="left"/>
      </w:pPr>
      <w:r>
        <w:rPr>
          <w:u w:val="single"/>
        </w:rPr>
        <w:t xml:space="preserve">"Assault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u w:val="single"/>
        </w:rPr>
        <w:t xml:space="preserve">(28)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u w:val="single"/>
        </w:rPr>
        <w:t xml:space="preserve">(29) "Large capacity magazine" means an ammunition feeding device with the capacity to accept more than ten rounds of ammunition, or any conversion kit, part, or combination of parts, from which such a device can be assembled if those parts are in the possession or under the control of the same person, but shall not be construed to include any of the following:</w:t>
      </w:r>
    </w:p>
    <w:p>
      <w:pPr>
        <w:spacing w:before="0" w:after="0" w:line="408" w:lineRule="exact"/>
        <w:ind w:left="0" w:right="0" w:firstLine="576"/>
        <w:jc w:val="left"/>
      </w:pPr>
      <w:r>
        <w:rPr>
          <w:u w:val="single"/>
        </w:rPr>
        <w:t xml:space="preserve">(a) An ammunition feeding device that has been permanently altered so that it cannot accommodate more than ten rounds of ammunition;</w:t>
      </w:r>
    </w:p>
    <w:p>
      <w:pPr>
        <w:spacing w:before="0" w:after="0" w:line="408" w:lineRule="exact"/>
        <w:ind w:left="0" w:right="0" w:firstLine="576"/>
        <w:jc w:val="left"/>
      </w:pPr>
      <w:r>
        <w:rPr>
          <w:u w:val="single"/>
        </w:rPr>
        <w:t xml:space="preserve">(b) A twenty-two caliber tube ammunition feeding device; or</w:t>
      </w:r>
    </w:p>
    <w:p>
      <w:pPr>
        <w:spacing w:before="0" w:after="0" w:line="408" w:lineRule="exact"/>
        <w:ind w:left="0" w:right="0" w:firstLine="576"/>
        <w:jc w:val="left"/>
      </w:pPr>
      <w:r>
        <w:rPr>
          <w:u w:val="single"/>
        </w:rPr>
        <w:t xml:space="preserve">(c) A tubular magazine that is contained in a lever-action firearm.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in this state may manufacture, possess, purchase, sell, or otherwise transfer any assault weapon or large capacity magazine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possession of an assault weapon or large capacity magazine by a person who legally possessed the assault weapon or large capacity magazine prior to the effective date of this section, or possession of an assault weapon or large capacity magazine by a person who, on or after the effective date of this section, acquires possession of the assault weapon or large capacity magazine by operation of law upon the death of the former owner who was in legal possession of the assault weapon or large capacity magazine. A person who legally possesses an assault weapon or large capacity magazine under this subsection (2)(a) may not sell or transfer the assault weapon to any other person in this state other than to a licensed dealer, to a federally licensed gun smith for the purpose of service or repair, or to a law enforcement agency for the purpose of permanently relinquishing the assault weapon or large capacity magazine;</w:t>
      </w:r>
    </w:p>
    <w:p>
      <w:pPr>
        <w:spacing w:before="0" w:after="0" w:line="408" w:lineRule="exact"/>
        <w:ind w:left="0" w:right="0" w:firstLine="576"/>
        <w:jc w:val="left"/>
      </w:pPr>
      <w:r>
        <w:rPr/>
        <w:t xml:space="preserve">(b) Any government officer, agent, or employee, member of the armed forces of the United States or the state of Washington, or law enforcement officer, to the extent that such person is otherwise authorized to acquire or possess an assault weapon or large capacity magazine and does so while acting within the scope of his or her duties;</w:t>
      </w:r>
    </w:p>
    <w:p>
      <w:pPr>
        <w:spacing w:before="0" w:after="0" w:line="408" w:lineRule="exact"/>
        <w:ind w:left="0" w:right="0" w:firstLine="576"/>
        <w:jc w:val="left"/>
      </w:pPr>
      <w:r>
        <w:rPr/>
        <w:t xml:space="preserve">(c) The manufacture and sale or transfer of an assault weapon or large capacity magazine by a licensed firearms manufacturer for the purposes of sale to any branch of the armed forces of the United States or the state of Washington, or to a law enforcement agency in this state for use by that agency or its employees;</w:t>
      </w:r>
    </w:p>
    <w:p>
      <w:pPr>
        <w:spacing w:before="0" w:after="0" w:line="408" w:lineRule="exact"/>
        <w:ind w:left="0" w:right="0" w:firstLine="576"/>
        <w:jc w:val="left"/>
      </w:pPr>
      <w:r>
        <w:rPr/>
        <w:t xml:space="preserve">(d) The possession and sale or transfer of an assault weapon or large capacity magazine by a dealer that is properly licensed under federal and state law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(e) The possession and sale or transfer of an assault weapon or large capacity magazine by a dealer that is properly licensed under federal and state law where the dealer acquires the assault weapon or large capacity magazine from a person legally authorized to possess or transfer the assault weapon or large capacity magazine under (a) of this subsection for the purpose of selling or transferring the assault weapon or large capacity magazine to a person who does not reside in this state;</w:t>
      </w:r>
    </w:p>
    <w:p>
      <w:pPr>
        <w:spacing w:before="0" w:after="0" w:line="408" w:lineRule="exact"/>
        <w:ind w:left="0" w:right="0" w:firstLine="576"/>
        <w:jc w:val="left"/>
      </w:pPr>
      <w:r>
        <w:rPr/>
        <w:t xml:space="preserve">(f) The transfer to and possession of a legally possessed assault weapon or large capacity magazine by a federally licensed gunsmith for the purposes of service or repair, and the return of the assault weapon or large capacity magazine to the lawful owner; and</w:t>
      </w:r>
    </w:p>
    <w:p>
      <w:pPr>
        <w:spacing w:before="0" w:after="0" w:line="408" w:lineRule="exact"/>
        <w:ind w:left="0" w:right="0" w:firstLine="576"/>
        <w:jc w:val="left"/>
      </w:pPr>
      <w:r>
        <w:rPr/>
        <w:t xml:space="preserve">(g) The possession and transport of an unloaded assault weapon for the purpose of permanently relinquishing it to a law enforcement agency in this state. An assault weapon relinquished to a law enforcement agency under this subsection must be destroyed.</w:t>
      </w:r>
    </w:p>
    <w:p>
      <w:pPr>
        <w:spacing w:before="0" w:after="0" w:line="408" w:lineRule="exact"/>
        <w:ind w:left="0" w:right="0" w:firstLine="576"/>
        <w:jc w:val="left"/>
      </w:pPr>
      <w:r>
        <w:rPr/>
        <w:t xml:space="preserve">(3) A person who violates this section is guilty of a class C felony punishable under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Manufacture, Possess, Purchase, Sell, Transfer of Assault Weapon or Large Capacity Magazine (section 2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80ea7d1bf9a14e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7a177762cc47d7" /><Relationship Type="http://schemas.openxmlformats.org/officeDocument/2006/relationships/footer" Target="/word/footer.xml" Id="R80ea7d1bf9a14ebc" /></Relationships>
</file>