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e78cc373e5445b" /></Relationships>
</file>

<file path=word/document.xml><?xml version="1.0" encoding="utf-8"?>
<w:document xmlns:w="http://schemas.openxmlformats.org/wordprocessingml/2006/main">
  <w:body>
    <w:p>
      <w:r>
        <w:t>H-3053.2</w:t>
      </w:r>
    </w:p>
    <w:p>
      <w:pPr>
        <w:jc w:val="center"/>
      </w:pPr>
      <w:r>
        <w:t>_______________________________________________</w:t>
      </w:r>
    </w:p>
    <w:p/>
    <w:p>
      <w:pPr>
        <w:jc w:val="center"/>
      </w:pPr>
      <w:r>
        <w:rPr>
          <w:b/>
        </w:rPr>
        <w:t>HOUSE BILL 2347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Hurst, Reykdal, Appleton, Kirby, and Condotta</w:t>
      </w:r>
    </w:p>
    <w:p/>
    <w:p>
      <w:r>
        <w:rPr>
          <w:t xml:space="preserve">Prefiled 01/05/16.</w:t>
        </w:rPr>
      </w:r>
      <w:r>
        <w:rPr>
          <w:t xml:space="preserve">Read first time 01/11/16.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tax on useable marijuana, marijuana concentrates, and marijuana-infused products; and amending RCW 69.50.535.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2015 2nd sp.s. c 4 s 205 are each amended to read as follows:</w:t>
      </w:r>
    </w:p>
    <w:p>
      <w:pPr>
        <w:spacing w:before="0" w:after="0" w:line="408" w:lineRule="exact"/>
        <w:ind w:left="0" w:right="0" w:firstLine="576"/>
        <w:jc w:val="left"/>
      </w:pPr>
      <w:r>
        <w:rPr/>
        <w:t xml:space="preserve">(1)(a) There is levied and collected a marijuana excise tax equal to </w:t>
      </w:r>
      <w:r>
        <w:t>((</w:t>
      </w:r>
      <w:r>
        <w:rPr>
          <w:strike/>
        </w:rPr>
        <w:t xml:space="preserve">thirty-seven</w:t>
      </w:r>
      <w:r>
        <w:t>))</w:t>
      </w:r>
      <w:r>
        <w:rPr/>
        <w:t xml:space="preserve"> </w:t>
      </w:r>
      <w:r>
        <w:rPr>
          <w:u w:val="single"/>
        </w:rPr>
        <w:t xml:space="preserve">twenty-five</w:t>
      </w:r>
      <w:r>
        <w:rPr/>
        <w:t xml:space="preserve"> percent of the selling price on each retail sale in this state of marijuana concentrates, useable marijuana, and marijuana-infused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 The tax levied in this section must be reflected in the price list or quoted shelf price in the licensed marijuana retail store and in any advertising that includes prices for all useable marijuana, marijuana concentrates, or marijuana-infused products.</w:t>
      </w:r>
    </w:p>
    <w:p>
      <w:pPr>
        <w:spacing w:before="0" w:after="0" w:line="408" w:lineRule="exact"/>
        <w:ind w:left="0" w:right="0" w:firstLine="576"/>
        <w:jc w:val="left"/>
      </w:pPr>
      <w:r>
        <w:rPr/>
        <w:t xml:space="preserve">(2) All revenues collected from the marijuana excise tax imposed under this section must be deposited each day in the dedicated marijuana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marijuana, marijuana concentrates, useable marijuana, and marijuana-infused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state liquor and cannabis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marijuana tax change;</w:t>
      </w:r>
    </w:p>
    <w:p>
      <w:pPr>
        <w:spacing w:before="0" w:after="0" w:line="408" w:lineRule="exact"/>
        <w:ind w:left="0" w:right="0" w:firstLine="576"/>
        <w:jc w:val="left"/>
      </w:pPr>
      <w:r>
        <w:rPr/>
        <w:t xml:space="preserve">(iii) The increase or decrease in the volume of legal marijuana sold prior to and after any marijuana tax change;</w:t>
      </w:r>
    </w:p>
    <w:p>
      <w:pPr>
        <w:spacing w:before="0" w:after="0" w:line="408" w:lineRule="exact"/>
        <w:ind w:left="0" w:right="0" w:firstLine="576"/>
        <w:jc w:val="left"/>
      </w:pPr>
      <w:r>
        <w:rPr/>
        <w:t xml:space="preserve">(iv) Increases or decreases in the number of licensed marijuana producers, processors, and retailers;</w:t>
      </w:r>
    </w:p>
    <w:p>
      <w:pPr>
        <w:spacing w:before="0" w:after="0" w:line="408" w:lineRule="exact"/>
        <w:ind w:left="0" w:right="0" w:firstLine="576"/>
        <w:jc w:val="left"/>
      </w:pPr>
      <w:r>
        <w:rPr/>
        <w:t xml:space="preserve">(v) The number of illegal and noncompliant marijuana outlets the board requires to be closed;</w:t>
      </w:r>
    </w:p>
    <w:p>
      <w:pPr>
        <w:spacing w:before="0" w:after="0" w:line="408" w:lineRule="exact"/>
        <w:ind w:left="0" w:right="0" w:firstLine="576"/>
        <w:jc w:val="left"/>
      </w:pPr>
      <w:r>
        <w:rPr/>
        <w:t xml:space="preserve">(vi) Gross marijuana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
      <w:pPr>
        <w:jc w:val="center"/>
      </w:pPr>
      <w:r>
        <w:rPr>
          <w:b/>
        </w:rPr>
        <w:t>--- END ---</w:t>
      </w:r>
    </w:p>
    <w:sectPr>
      <w:pgNumType w:start="1"/>
      <w:footerReference xmlns:r="http://schemas.openxmlformats.org/officeDocument/2006/relationships" r:id="R2c2329965e5d4c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a379a053a347dc" /><Relationship Type="http://schemas.openxmlformats.org/officeDocument/2006/relationships/footer" Target="/word/footer.xml" Id="R2c2329965e5d4cd3" /></Relationships>
</file>