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bd23ee3423430b" /></Relationships>
</file>

<file path=word/document.xml><?xml version="1.0" encoding="utf-8"?>
<w:document xmlns:w="http://schemas.openxmlformats.org/wordprocessingml/2006/main">
  <w:body>
    <w:p>
      <w:r>
        <w:t>H-3246.2</w:t>
      </w:r>
    </w:p>
    <w:p>
      <w:pPr>
        <w:jc w:val="center"/>
      </w:pPr>
      <w:r>
        <w:t>_______________________________________________</w:t>
      </w:r>
    </w:p>
    <w:p/>
    <w:p>
      <w:pPr>
        <w:jc w:val="center"/>
      </w:pPr>
      <w:r>
        <w:rPr>
          <w:b/>
        </w:rPr>
        <w:t>HOUSE BILL 2342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Hurst</w:t>
      </w:r>
    </w:p>
    <w:p/>
    <w:p>
      <w:r>
        <w:rPr>
          <w:t xml:space="preserve">Prefiled 01/05/16.</w:t>
        </w:rPr>
      </w:r>
      <w:r>
        <w:rPr>
          <w:t xml:space="preserve">Read first time 01/11/16.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of personal services by members of the liquor industry to retailers;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w:t>
      </w:r>
      <w:r>
        <w:rPr>
          <w:u w:val="single"/>
        </w:rPr>
        <w:t xml:space="preserve">enhanced packaging promotions,</w:t>
      </w:r>
      <w:r>
        <w:rPr/>
        <w:t xml:space="preserve">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t>
      </w:r>
      <w:r>
        <w:rPr>
          <w:u w:val="single"/>
        </w:rPr>
        <w:t xml:space="preserve">or to beer and/or wine specialty shop licensees</w:t>
      </w:r>
      <w:r>
        <w:rPr/>
        <w:t xml:space="preserve">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w:t>
      </w:r>
      <w:r>
        <w:rPr>
          <w:u w:val="single"/>
        </w:rPr>
        <w:t xml:space="preserve">enhanced packaging promotions,</w:t>
      </w:r>
      <w:r>
        <w:rPr/>
        <w:t xml:space="preserve"> and other similar informational or educational activities. A domestic brewery, microbrewery, or beer certificate of approval holder is not obligated to perform any such personal services, and a grocery store </w:t>
      </w:r>
      <w:r>
        <w:rPr>
          <w:u w:val="single"/>
        </w:rPr>
        <w:t xml:space="preserve">or beer and/or wine specialty shop</w:t>
      </w:r>
      <w:r>
        <w:rPr/>
        <w:t xml:space="preserv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(11) Nothing in RCW 66.28.305 prohibits the performance of personal services offered from time to time by a distiller, importer, manufacturer of spirits, or spirits importer to a beer and/or wine specialty shop with a spirits retail license when the personal services are (a) conducted at a licensed premises, and (b) intended to inform, educate, or enhance customers' knowledge or experience of the manufacturer's products. The performance of personal services may include participation in pouring for tastings, bottle signing events, enhanced packaging promotions, and other similar informational or educational activities at the premises of a beer and/or wine specialty shop with a spirits retail license. Any spirit sampling at such an event must be conducted pursuant to RCW 66.24.670. A distiller, importer, manufacturer of spirits, or spirits importer is not obligated to perform any such personal services, and a retail licensee may not require a distiller, importer, manufacturer of spirits, or spirits importer to conduct any personal service as a condition for selling any alcohol to the retail licensee, or as a condition for including any product of the distiller, importer, manufacturer of spirits, or spirits importer in any tasting conducted by the licensee. Except as provided in RCW 66.28.150, the cost of sampling may not be borne, directly or indirectly, by any distiller, importer, manufacturer of spirits, or spirits importer. Nothing in this section prohibits a certificate of approval holder, distiller, importer, manufacturer of spirits, or spirits importer from identifying the producers on private labels authorized under RCW 66.24.360, 66.24.371, 66.24.400, 66.24.425, and 66.24.450.</w:t>
      </w:r>
    </w:p>
    <w:p>
      <w:pPr>
        <w:spacing w:before="0" w:after="0" w:line="408" w:lineRule="exact"/>
        <w:ind w:left="0" w:right="0" w:firstLine="576"/>
        <w:jc w:val="left"/>
      </w:pPr>
      <w:r>
        <w:rPr>
          <w:u w:val="single"/>
        </w:rPr>
        <w:t xml:space="preserve">(12) The personal services provided by an industry member to a retailer under subsection (5), (7), or (11) of this section may be provided by an agent of the industry member.</w:t>
      </w:r>
    </w:p>
    <w:p>
      <w:pPr>
        <w:spacing w:before="0" w:after="0" w:line="408" w:lineRule="exact"/>
        <w:ind w:left="0" w:right="0" w:firstLine="576"/>
        <w:jc w:val="left"/>
      </w:pPr>
      <w:r>
        <w:rPr>
          <w:u w:val="single"/>
        </w:rPr>
        <w:t xml:space="preserve">(13) Any enhanced promotional packaging must meet state and federal requirements for labeling, pricing, moneys' worth under RCW 66.28.305, and undue influence under this section.</w:t>
      </w:r>
    </w:p>
    <w:p/>
    <w:p>
      <w:pPr>
        <w:jc w:val="center"/>
      </w:pPr>
      <w:r>
        <w:rPr>
          <w:b/>
        </w:rPr>
        <w:t>--- END ---</w:t>
      </w:r>
    </w:p>
    <w:sectPr>
      <w:pgNumType w:start="1"/>
      <w:footerReference xmlns:r="http://schemas.openxmlformats.org/officeDocument/2006/relationships" r:id="Ra6b8f290247941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39ec9b873347ab" /><Relationship Type="http://schemas.openxmlformats.org/officeDocument/2006/relationships/footer" Target="/word/footer.xml" Id="Ra6b8f29024794105" /></Relationships>
</file>