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1fbc4fa11741ab" /></Relationships>
</file>

<file path=word/document.xml><?xml version="1.0" encoding="utf-8"?>
<w:document xmlns:w="http://schemas.openxmlformats.org/wordprocessingml/2006/main">
  <w:body>
    <w:p>
      <w:r>
        <w:t>H-3056.1</w:t>
      </w:r>
    </w:p>
    <w:p>
      <w:pPr>
        <w:jc w:val="center"/>
      </w:pPr>
      <w:r>
        <w:t>_______________________________________________</w:t>
      </w:r>
    </w:p>
    <w:p/>
    <w:p>
      <w:pPr>
        <w:jc w:val="center"/>
      </w:pPr>
      <w:r>
        <w:rPr>
          <w:b/>
        </w:rPr>
        <w:t>HOUSE BILL 2305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Ryu, Vick, Zeiger, and Kirby</w:t>
      </w:r>
    </w:p>
    <w:p/>
    <w:p>
      <w:r>
        <w:rPr>
          <w:t xml:space="preserve">Prefiled 12/14/15.</w:t>
        </w:rPr>
      </w:r>
      <w:r>
        <w:rPr>
          <w:t xml:space="preserve">Read first time 01/11/16.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handling of certain personal property in a self-service storage facility; and amending RCW 19.150.060 and 19.150.160.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2015 c 13 s 3 are each amended to read as follows:</w:t>
      </w:r>
    </w:p>
    <w:p>
      <w:pPr>
        <w:spacing w:before="0" w:after="0" w:line="408" w:lineRule="exact"/>
        <w:ind w:left="0" w:right="0" w:firstLine="576"/>
        <w:jc w:val="left"/>
      </w:pPr>
      <w:r>
        <w:rPr/>
        <w:t xml:space="preserve">(1)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must provide the occupant a notice of final lien sale or final notice of disposition by personal service, verified mail, or </w:t>
      </w:r>
      <w:r>
        <w:t>((</w:t>
      </w:r>
      <w:r>
        <w:rPr>
          <w:strike/>
        </w:rPr>
        <w:t xml:space="preserve">electronic mail [email]</w:t>
      </w:r>
      <w:r>
        <w:t>))</w:t>
      </w:r>
      <w:r>
        <w:rPr/>
        <w:t xml:space="preserve"> </w:t>
      </w:r>
      <w:r>
        <w:rPr>
          <w:u w:val="single"/>
        </w:rPr>
        <w:t xml:space="preserve">email</w:t>
      </w:r>
      <w:r>
        <w:rPr/>
        <w:t xml:space="preserve"> to the occupant's last known address and alternative address or </w:t>
      </w:r>
      <w:r>
        <w:t>((</w:t>
      </w:r>
      <w:r>
        <w:rPr>
          <w:strike/>
        </w:rPr>
        <w:t xml:space="preserve">electronic mail [email]</w:t>
      </w:r>
      <w:r>
        <w:t>))</w:t>
      </w:r>
      <w:r>
        <w:rPr/>
        <w:t xml:space="preserve"> </w:t>
      </w:r>
      <w:r>
        <w:rPr>
          <w:u w:val="single"/>
        </w:rPr>
        <w:t xml:space="preserve">email</w:t>
      </w:r>
      <w:r>
        <w:rPr/>
        <w:t xml:space="preserve"> address. If the owner sends notice required under this section to the occupant's last known </w:t>
      </w:r>
      <w:r>
        <w:t>((</w:t>
      </w:r>
      <w:r>
        <w:rPr>
          <w:strike/>
        </w:rPr>
        <w:t xml:space="preserve">electronic mail [email]</w:t>
      </w:r>
      <w:r>
        <w:t>))</w:t>
      </w:r>
      <w:r>
        <w:rPr/>
        <w:t xml:space="preserve"> </w:t>
      </w:r>
      <w:r>
        <w:rPr>
          <w:u w:val="single"/>
        </w:rPr>
        <w:t xml:space="preserve">email</w:t>
      </w:r>
      <w:r>
        <w:rPr/>
        <w:t xml:space="preserve"> address and does not receive a reply or receipt of delivery, the owner must send a second notice to the occupant's last known postal address by verified mail. The notice required under this section must state all of the following:</w:t>
      </w:r>
    </w:p>
    <w:p>
      <w:pPr>
        <w:spacing w:before="0" w:after="0" w:line="408" w:lineRule="exact"/>
        <w:ind w:left="0" w:right="0" w:firstLine="576"/>
        <w:jc w:val="left"/>
      </w:pPr>
      <w:r>
        <w:rPr/>
        <w:t xml:space="preserve">(a) That the occupant's right to use the storage space has terminated and that the occupant no longer has access to the stored property.</w:t>
      </w:r>
    </w:p>
    <w:p>
      <w:pPr>
        <w:spacing w:before="0" w:after="0" w:line="408" w:lineRule="exact"/>
        <w:ind w:left="0" w:right="0" w:firstLine="576"/>
        <w:jc w:val="left"/>
      </w:pPr>
      <w:r>
        <w:rPr/>
        <w:t xml:space="preserve">(b) That the stored property is subject to a lien, and the amount of the lien accrued and to accrue prior to the date required to be specified in (c) of this subsection.</w:t>
      </w:r>
    </w:p>
    <w:p>
      <w:pPr>
        <w:spacing w:before="0" w:after="0" w:line="408" w:lineRule="exact"/>
        <w:ind w:left="0" w:right="0" w:firstLine="576"/>
        <w:jc w:val="left"/>
      </w:pPr>
      <w:r>
        <w:rPr/>
        <w:t xml:space="preserve">(c) That all the property, other than personal papers and personal photographs, may be sold to satisfy the lien after a specified date which is not less than fourteen days from the last date of sending of the final lien sale notice, or a minimum of forty-two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spacing w:before="0" w:after="0" w:line="408" w:lineRule="exact"/>
        <w:ind w:left="0" w:right="0" w:firstLine="576"/>
        <w:jc w:val="left"/>
      </w:pPr>
      <w:r>
        <w:rPr/>
        <w:t xml:space="preserve">(d) That any stored </w:t>
      </w:r>
      <w:r>
        <w:t>((</w:t>
      </w:r>
      <w:r>
        <w:rPr>
          <w:strike/>
        </w:rPr>
        <w:t xml:space="preserve">motor</w:t>
      </w:r>
      <w:r>
        <w:t>))</w:t>
      </w:r>
      <w:r>
        <w:rPr/>
        <w:t xml:space="preserve"> vehicles </w:t>
      </w:r>
      <w:r>
        <w:t>((</w:t>
      </w:r>
      <w:r>
        <w:rPr>
          <w:strike/>
        </w:rPr>
        <w:t xml:space="preserve">or boats</w:t>
      </w:r>
      <w:r>
        <w:t>))</w:t>
      </w:r>
      <w:r>
        <w:rPr>
          <w:u w:val="single"/>
        </w:rPr>
        <w:t xml:space="preserve">, watercraft, trailers, recreational vehicles, or campers</w:t>
      </w:r>
      <w:r>
        <w:rPr/>
        <w:t xml:space="preserve"> may be towed or removed from the self-service storage facility in lieu of sale pursuant to RCW 19.150.160.</w:t>
      </w:r>
    </w:p>
    <w:p>
      <w:pPr>
        <w:spacing w:before="0" w:after="0" w:line="408" w:lineRule="exact"/>
        <w:ind w:left="0" w:right="0" w:firstLine="576"/>
        <w:jc w:val="left"/>
      </w:pPr>
      <w:r>
        <w:rPr/>
        <w:t xml:space="preserve">(e)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RCW 63.29.165.</w:t>
      </w:r>
    </w:p>
    <w:p>
      <w:pPr>
        <w:spacing w:before="0" w:after="0" w:line="408" w:lineRule="exact"/>
        <w:ind w:left="0" w:right="0" w:firstLine="576"/>
        <w:jc w:val="left"/>
      </w:pPr>
      <w:r>
        <w:rPr/>
        <w:t xml:space="preserve">(f)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spacing w:before="0" w:after="0" w:line="408" w:lineRule="exact"/>
        <w:ind w:left="0" w:right="0" w:firstLine="576"/>
        <w:jc w:val="left"/>
      </w:pPr>
      <w:r>
        <w:rPr/>
        <w:t xml:space="preserve">(g) That the occupant has no right to repurchase any property sold at the lien sale.</w:t>
      </w:r>
    </w:p>
    <w:p>
      <w:pPr>
        <w:spacing w:before="0" w:after="0" w:line="408" w:lineRule="exact"/>
        <w:ind w:left="0" w:right="0" w:firstLine="576"/>
        <w:jc w:val="left"/>
      </w:pPr>
      <w:r>
        <w:rPr/>
        <w:t xml:space="preserve">(2) The owner may not send by </w:t>
      </w:r>
      <w:r>
        <w:t>((</w:t>
      </w:r>
      <w:r>
        <w:rPr>
          <w:strike/>
        </w:rPr>
        <w:t xml:space="preserve">electronic mail [email]</w:t>
      </w:r>
      <w:r>
        <w:t>))</w:t>
      </w:r>
      <w:r>
        <w:rPr/>
        <w:t xml:space="preserve"> </w:t>
      </w:r>
      <w:r>
        <w:rPr>
          <w:u w:val="single"/>
        </w:rPr>
        <w:t xml:space="preserve">email</w:t>
      </w:r>
      <w:r>
        <w:rPr/>
        <w:t xml:space="preserve"> the notice required under this section to the occupant's last known address or alternative address unless:</w:t>
      </w:r>
    </w:p>
    <w:p>
      <w:pPr>
        <w:spacing w:before="0" w:after="0" w:line="408" w:lineRule="exact"/>
        <w:ind w:left="0" w:right="0" w:firstLine="576"/>
        <w:jc w:val="left"/>
      </w:pPr>
      <w:r>
        <w:rPr/>
        <w:t xml:space="preserve">(a) The occupant expressly agrees to notice by </w:t>
      </w:r>
      <w:r>
        <w:t>((</w:t>
      </w:r>
      <w:r>
        <w:rPr>
          <w:strike/>
        </w:rPr>
        <w:t xml:space="preserve">electronic mail [email]</w:t>
      </w:r>
      <w:r>
        <w:t>))</w:t>
      </w:r>
      <w:r>
        <w:rPr/>
        <w:t xml:space="preserve"> </w:t>
      </w:r>
      <w:r>
        <w:rPr>
          <w:u w:val="single"/>
        </w:rPr>
        <w:t xml:space="preserve">email</w:t>
      </w:r>
      <w:r>
        <w:rPr/>
        <w:t xml:space="preserve">;</w:t>
      </w:r>
    </w:p>
    <w:p>
      <w:pPr>
        <w:spacing w:before="0" w:after="0" w:line="408" w:lineRule="exact"/>
        <w:ind w:left="0" w:right="0" w:firstLine="576"/>
        <w:jc w:val="left"/>
      </w:pPr>
      <w:r>
        <w:rPr/>
        <w:t xml:space="preserve">(b) The rental agreement executed by the occupant specifies in bold type that notices will be given to the occupant by </w:t>
      </w:r>
      <w:r>
        <w:t>((</w:t>
      </w:r>
      <w:r>
        <w:rPr>
          <w:strike/>
        </w:rPr>
        <w:t xml:space="preserve">electronic mail [email]</w:t>
      </w:r>
      <w:r>
        <w:t>))</w:t>
      </w:r>
      <w:r>
        <w:rPr/>
        <w:t xml:space="preserve"> </w:t>
      </w:r>
      <w:r>
        <w:rPr>
          <w:u w:val="single"/>
        </w:rPr>
        <w:t xml:space="preserve">email</w:t>
      </w:r>
      <w:r>
        <w:rPr/>
        <w:t xml:space="preserve">;</w:t>
      </w:r>
    </w:p>
    <w:p>
      <w:pPr>
        <w:spacing w:before="0" w:after="0" w:line="408" w:lineRule="exact"/>
        <w:ind w:left="0" w:right="0" w:firstLine="576"/>
        <w:jc w:val="left"/>
      </w:pPr>
      <w:r>
        <w:rPr/>
        <w:t xml:space="preserve">(c) The owner provides the occupant with the </w:t>
      </w:r>
      <w:r>
        <w:t>((</w:t>
      </w:r>
      <w:r>
        <w:rPr>
          <w:strike/>
        </w:rPr>
        <w:t xml:space="preserve">electronic mail [email]</w:t>
      </w:r>
      <w:r>
        <w:t>))</w:t>
      </w:r>
      <w:r>
        <w:rPr/>
        <w:t xml:space="preserve"> </w:t>
      </w:r>
      <w:r>
        <w:rPr>
          <w:u w:val="single"/>
        </w:rPr>
        <w:t xml:space="preserve">email</w:t>
      </w:r>
      <w:r>
        <w:rPr/>
        <w:t xml:space="preserve"> address from which notices will be sent and directs the occupant to modify his or her email settings to allow </w:t>
      </w:r>
      <w:r>
        <w:t>((</w:t>
      </w:r>
      <w:r>
        <w:rPr>
          <w:strike/>
        </w:rPr>
        <w:t xml:space="preserve">electronic mail [email]</w:t>
      </w:r>
      <w:r>
        <w:t>))</w:t>
      </w:r>
      <w:r>
        <w:rPr/>
        <w:t xml:space="preserve"> </w:t>
      </w:r>
      <w:r>
        <w:rPr>
          <w:u w:val="single"/>
        </w:rPr>
        <w:t xml:space="preserve">email</w:t>
      </w:r>
      <w:r>
        <w:rPr/>
        <w:t xml:space="preserve"> from that address to avoid any filtration systems; and</w:t>
      </w:r>
    </w:p>
    <w:p>
      <w:pPr>
        <w:spacing w:before="0" w:after="0" w:line="408" w:lineRule="exact"/>
        <w:ind w:left="0" w:right="0" w:firstLine="576"/>
        <w:jc w:val="left"/>
      </w:pPr>
      <w:r>
        <w:rPr/>
        <w:t xml:space="preserve">(d) The owner notifies the occupant of any change in the </w:t>
      </w:r>
      <w:r>
        <w:t>((</w:t>
      </w:r>
      <w:r>
        <w:rPr>
          <w:strike/>
        </w:rPr>
        <w:t xml:space="preserve">electronic mail [email]</w:t>
      </w:r>
      <w:r>
        <w:t>))</w:t>
      </w:r>
      <w:r>
        <w:rPr/>
        <w:t xml:space="preserve"> </w:t>
      </w:r>
      <w:r>
        <w:rPr>
          <w:u w:val="single"/>
        </w:rPr>
        <w:t xml:space="preserve">email</w:t>
      </w:r>
      <w:r>
        <w:rPr/>
        <w:t xml:space="preserve"> address from which notices will be sent prior to the address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160</w:t>
      </w:r>
      <w:r>
        <w:rPr/>
        <w:t xml:space="preserve"> and 2015 c 13 s 4 are each amended to read as follows:</w:t>
      </w:r>
    </w:p>
    <w:p>
      <w:pPr>
        <w:spacing w:before="0" w:after="0" w:line="408" w:lineRule="exact"/>
        <w:ind w:left="0" w:right="0" w:firstLine="576"/>
        <w:jc w:val="left"/>
      </w:pPr>
      <w:r>
        <w:rPr/>
        <w:t xml:space="preserve">(1) If an occupant is in default for sixty or more days and the personal property stored in the leased space is a </w:t>
      </w:r>
      <w:r>
        <w:t>((</w:t>
      </w:r>
      <w:r>
        <w:rPr>
          <w:strike/>
        </w:rPr>
        <w:t xml:space="preserve">motor</w:t>
      </w:r>
      <w:r>
        <w:t>))</w:t>
      </w:r>
      <w:r>
        <w:rPr/>
        <w:t xml:space="preserve"> vehicle </w:t>
      </w:r>
      <w:r>
        <w:t>((</w:t>
      </w:r>
      <w:r>
        <w:rPr>
          <w:strike/>
        </w:rPr>
        <w:t xml:space="preserve">or boat</w:t>
      </w:r>
      <w:r>
        <w:t>))</w:t>
      </w:r>
      <w:r>
        <w:rPr>
          <w:u w:val="single"/>
        </w:rPr>
        <w:t xml:space="preserve">, watercraft, trailer, recreational vehicle, or camper</w:t>
      </w:r>
      <w:r>
        <w:rPr/>
        <w:t xml:space="preserve">, the owner may have the personal property towed or removed from the self–service storage facility in lieu of a sale. Prior to having the vehicle</w:t>
      </w:r>
      <w:r>
        <w:rPr>
          <w:u w:val="single"/>
        </w:rPr>
        <w:t xml:space="preserve">, watercraft, trailer, recreational vehicle, or camper</w:t>
      </w:r>
      <w:r>
        <w:rPr/>
        <w:t xml:space="preserve"> towed, the owner must provide notice to the occupant stating the name, address, and contact information of the towing company.</w:t>
      </w:r>
    </w:p>
    <w:p>
      <w:pPr>
        <w:spacing w:before="0" w:after="0" w:line="408" w:lineRule="exact"/>
        <w:ind w:left="0" w:right="0" w:firstLine="576"/>
        <w:jc w:val="left"/>
      </w:pPr>
      <w:r>
        <w:rPr/>
        <w:t xml:space="preserve">(2) The owner is not liable for any damage to the personal property towed or removed from the self–service storage facility once the property is in the possession of a third party.</w:t>
      </w:r>
    </w:p>
    <w:p/>
    <w:p>
      <w:pPr>
        <w:jc w:val="center"/>
      </w:pPr>
      <w:r>
        <w:rPr>
          <w:b/>
        </w:rPr>
        <w:t>--- END ---</w:t>
      </w:r>
    </w:p>
    <w:sectPr>
      <w:pgNumType w:start="1"/>
      <w:footerReference xmlns:r="http://schemas.openxmlformats.org/officeDocument/2006/relationships" r:id="R659732d131d546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538bc210a04937" /><Relationship Type="http://schemas.openxmlformats.org/officeDocument/2006/relationships/footer" Target="/word/footer.xml" Id="R659732d131d54688" /></Relationships>
</file>