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67f762ff14b4e" /></Relationships>
</file>

<file path=word/document.xml><?xml version="1.0" encoding="utf-8"?>
<w:document xmlns:w="http://schemas.openxmlformats.org/wordprocessingml/2006/main">
  <w:body>
    <w:p>
      <w:r>
        <w:t>H-3044.1</w:t>
      </w:r>
    </w:p>
    <w:p>
      <w:pPr>
        <w:jc w:val="center"/>
      </w:pPr>
      <w:r>
        <w:t>_______________________________________________</w:t>
      </w:r>
    </w:p>
    <w:p/>
    <w:p>
      <w:pPr>
        <w:jc w:val="center"/>
      </w:pPr>
      <w:r>
        <w:rPr>
          <w:b/>
        </w:rPr>
        <w:t>HOUSE BILL 2303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De Wege, Dunshee, Tharinger, Pettigrew, Moeller, and Goodman</w:t>
      </w:r>
    </w:p>
    <w:p/>
    <w:p>
      <w:r>
        <w:rPr>
          <w:t xml:space="preserve">Prefiled 12/10/15.</w:t>
        </w:rPr>
      </w:r>
      <w:r>
        <w:rPr>
          <w:t xml:space="preserve">Read first time 01/11/16.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international wildland urban interface code; and amending RCW 19.27.031.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2015 c 11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w:t>
      </w:r>
      <w:r>
        <w:rPr>
          <w:u w:val="single"/>
        </w:rPr>
        <w:t xml:space="preserve">The International Wildland Urban Interface Code, published by the International Code Council, Inc.;</w:t>
      </w:r>
    </w:p>
    <w:p>
      <w:pPr>
        <w:spacing w:before="0" w:after="0" w:line="408" w:lineRule="exact"/>
        <w:ind w:left="0" w:right="0" w:firstLine="576"/>
        <w:jc w:val="left"/>
      </w:pPr>
      <w:r>
        <w:rPr>
          <w:u w:val="single"/>
        </w:rPr>
        <w:t xml:space="preserve">(5)</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w:t>
      </w:r>
      <w:r>
        <w:t>((</w:t>
      </w:r>
      <w:r>
        <w:rPr>
          <w:strike/>
        </w:rPr>
        <w:t xml:space="preserve">and</w:t>
      </w:r>
      <w:r>
        <w:t>))</w:t>
      </w:r>
      <w:r>
        <w:rPr/>
        <w:t xml:space="preserve"> (4)</w:t>
      </w:r>
      <w:r>
        <w:rPr>
          <w:u w:val="single"/>
        </w:rPr>
        <w:t xml:space="preserve">, and (5)</w:t>
      </w:r>
      <w:r>
        <w:rPr/>
        <w:t xml:space="preserve">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
      <w:pPr>
        <w:jc w:val="center"/>
      </w:pPr>
      <w:r>
        <w:rPr>
          <w:b/>
        </w:rPr>
        <w:t>--- END ---</w:t>
      </w:r>
    </w:p>
    <w:sectPr>
      <w:pgNumType w:start="1"/>
      <w:footerReference xmlns:r="http://schemas.openxmlformats.org/officeDocument/2006/relationships" r:id="R236187ba0c304d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0e998cc8484728" /><Relationship Type="http://schemas.openxmlformats.org/officeDocument/2006/relationships/footer" Target="/word/footer.xml" Id="R236187ba0c304dc7" /></Relationships>
</file>