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289081b7f54004" /></Relationships>
</file>

<file path=word/document.xml><?xml version="1.0" encoding="utf-8"?>
<w:document xmlns:w="http://schemas.openxmlformats.org/wordprocessingml/2006/main">
  <w:body>
    <w:p>
      <w:r>
        <w:t>H-3798.1</w:t>
      </w:r>
    </w:p>
    <w:p>
      <w:pPr>
        <w:jc w:val="center"/>
      </w:pPr>
      <w:r>
        <w:t>_______________________________________________</w:t>
      </w:r>
    </w:p>
    <w:p/>
    <w:p>
      <w:pPr>
        <w:jc w:val="center"/>
      </w:pPr>
      <w:r>
        <w:rPr>
          <w:b/>
        </w:rPr>
        <w:t>SUBSTITUTE HOUSE BILL 2274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Harmsworth, Bergquist, Hayes, Morris, Moscoso, Pollet, Vick, Wilson, Van Werven, and Haler)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individuals from reports of sale filed with an incorrect buyer of a subsequently abandoned vehicle; amending RCW 46.12.650, 46.55.105, 19.16.250, and 9.94A.753; and adding a new section to chapter 46.64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2015 3rd sp.s. c 44 s 214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t>((</w:t>
      </w:r>
      <w:r>
        <w:rPr>
          <w:strike/>
        </w:rPr>
        <w:t xml:space="preserve">twenty-one</w:t>
      </w:r>
      <w:r>
        <w:t>))</w:t>
      </w:r>
      <w:r>
        <w:rPr/>
        <w:t xml:space="preserve"> </w:t>
      </w:r>
      <w:r>
        <w:rPr>
          <w:u w:val="single"/>
        </w:rPr>
        <w:t xml:space="preserve">five</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t>((</w:t>
      </w:r>
      <w:r>
        <w:rPr>
          <w:strike/>
        </w:rPr>
        <w:t xml:space="preserve">twenty-one</w:t>
      </w:r>
      <w:r>
        <w:t>))</w:t>
      </w:r>
      <w:r>
        <w:rPr/>
        <w:t xml:space="preserve"> </w:t>
      </w:r>
      <w:r>
        <w:rPr>
          <w:u w:val="single"/>
        </w:rPr>
        <w:t xml:space="preserve">five</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w:t>
      </w:r>
      <w:r>
        <w:rPr>
          <w:u w:val="single"/>
        </w:rPr>
        <w:t xml:space="preserve">full</w:t>
      </w:r>
      <w:r>
        <w:rPr/>
        <w:t xml:space="preserve"> name and </w:t>
      </w:r>
      <w:r>
        <w:rPr>
          <w:u w:val="single"/>
        </w:rPr>
        <w:t xml:space="preserve">complete, current</w:t>
      </w:r>
      <w:r>
        <w:rPr/>
        <w:t xml:space="preserve"> address;</w:t>
      </w:r>
    </w:p>
    <w:p>
      <w:pPr>
        <w:spacing w:before="0" w:after="0" w:line="408" w:lineRule="exact"/>
        <w:ind w:left="0" w:right="0" w:firstLine="576"/>
        <w:jc w:val="left"/>
      </w:pPr>
      <w:r>
        <w:rPr/>
        <w:t xml:space="preserve">(c) The </w:t>
      </w:r>
      <w:r>
        <w:rPr>
          <w:u w:val="single"/>
        </w:rPr>
        <w:t xml:space="preserve">full</w:t>
      </w:r>
      <w:r>
        <w:rPr/>
        <w:t xml:space="preserve"> name and </w:t>
      </w:r>
      <w:r>
        <w:rPr>
          <w:u w:val="single"/>
        </w:rPr>
        <w:t xml:space="preserve">complete, current</w:t>
      </w:r>
      <w:r>
        <w:rPr/>
        <w:t xml:space="preserve"> address of the person acquiring the vehicle</w:t>
      </w:r>
      <w:r>
        <w:rPr>
          <w:u w:val="single"/>
        </w:rPr>
        <w:t xml:space="preserve">, including street name and number, and apartment number if applicable, or post office box number, city or town, and postal code</w:t>
      </w:r>
      <w:r>
        <w:rPr/>
        <w:t xml:space="preserv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t>((</w:t>
      </w:r>
      <w:r>
        <w:rPr>
          <w:strike/>
        </w:rPr>
        <w:t xml:space="preserve">twenty-first</w:t>
      </w:r>
      <w:r>
        <w:t>))</w:t>
      </w:r>
      <w:r>
        <w:rPr/>
        <w:t xml:space="preserve"> </w:t>
      </w:r>
      <w:r>
        <w:rPr>
          <w:u w:val="single"/>
        </w:rPr>
        <w:t xml:space="preserve">fifth</w:t>
      </w:r>
      <w:r>
        <w:rPr/>
        <w:t xml:space="preserve"> business day after the date of sale or transfer; and</w:t>
      </w:r>
    </w:p>
    <w:p>
      <w:pPr>
        <w:spacing w:before="0" w:after="0" w:line="408" w:lineRule="exact"/>
        <w:ind w:left="0" w:right="0" w:firstLine="576"/>
        <w:jc w:val="left"/>
      </w:pPr>
      <w:r>
        <w:rPr/>
        <w:t xml:space="preserve">(f) Payment of the fees required under RCW 46.17.050.</w:t>
      </w:r>
    </w:p>
    <w:p>
      <w:pPr>
        <w:spacing w:before="0" w:after="0" w:line="408" w:lineRule="exact"/>
        <w:ind w:left="0" w:right="0" w:firstLine="576"/>
        <w:jc w:val="left"/>
      </w:pPr>
      <w:r>
        <w:rPr/>
        <w:t xml:space="preserve">(4) </w:t>
      </w:r>
      <w:r>
        <w:rPr>
          <w:b/>
        </w:rPr>
        <w:t xml:space="preserve">Report of sale - administration.</w:t>
      </w:r>
      <w:r>
        <w:rPr/>
        <w:t xml:space="preserve"> (a) The department shall:</w:t>
      </w:r>
    </w:p>
    <w:p>
      <w:pPr>
        <w:spacing w:before="0" w:after="0" w:line="408" w:lineRule="exact"/>
        <w:ind w:left="0" w:right="0" w:firstLine="576"/>
        <w:jc w:val="left"/>
      </w:pPr>
      <w:r>
        <w:rPr/>
        <w:t xml:space="preserve">(i) Provide or approve reports of sale forms;</w:t>
      </w:r>
    </w:p>
    <w:p>
      <w:pPr>
        <w:spacing w:before="0" w:after="0" w:line="408" w:lineRule="exact"/>
        <w:ind w:left="0" w:right="0" w:firstLine="576"/>
        <w:jc w:val="left"/>
      </w:pPr>
      <w:r>
        <w:rPr/>
        <w:t xml:space="preserve">(ii) Provide a system enabling an owner to submit reports of sale electronically;</w:t>
      </w:r>
    </w:p>
    <w:p>
      <w:pPr>
        <w:spacing w:before="0" w:after="0" w:line="408" w:lineRule="exact"/>
        <w:ind w:left="0" w:right="0" w:firstLine="576"/>
        <w:jc w:val="left"/>
      </w:pPr>
      <w:r>
        <w:rPr/>
        <w:t xml:space="preserve">(iii) Immediately update the department's vehicle record when a report of sale has been filed;</w:t>
      </w:r>
    </w:p>
    <w:p>
      <w:pPr>
        <w:spacing w:before="0" w:after="0" w:line="408" w:lineRule="exact"/>
        <w:ind w:left="0" w:right="0" w:firstLine="576"/>
        <w:jc w:val="left"/>
      </w:pPr>
      <w:r>
        <w:rPr/>
        <w:t xml:space="preserve">(iv) Provide instructions on release of interest forms that allow the seller of a vehicle to release their interest in a vehicle at the same time a financial institution, as defined in RCW 30A.22.040, releases its lien on the vehicle; and</w:t>
      </w:r>
    </w:p>
    <w:p>
      <w:pPr>
        <w:spacing w:before="0" w:after="0" w:line="408" w:lineRule="exact"/>
        <w:ind w:left="0" w:right="0" w:firstLine="576"/>
        <w:jc w:val="left"/>
      </w:pPr>
      <w:r>
        <w:rPr/>
        <w:t xml:space="preserve">(v)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t xml:space="preserve">(b) </w:t>
      </w:r>
      <w:r>
        <w:t>((</w:t>
      </w:r>
      <w:r>
        <w:rPr>
          <w:strike/>
        </w:rPr>
        <w:t xml:space="preserve">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r>
        <w:t>))</w:t>
      </w:r>
      <w:r>
        <w:rPr/>
        <w:t xml:space="preserve"> </w:t>
      </w:r>
      <w:r>
        <w:rPr>
          <w:u w:val="single"/>
        </w:rPr>
        <w:t xml:space="preserve">A report of sale is not proof of a completed vehicle transfer for purposes of the collection of expenses related to towing, storage, and auction of an abandoned vehicle in situations where there is no evidence indicating the buyer knew of or was a party to acceptance of the vehicle transfer. A contract signed by the prior owner and the new owner, a certificate of title, or other legal proof of acceptance of the vehicle by the new owner may be provided to establish legal responsibility for the abandoned vehicle.</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105</w:t>
      </w:r>
      <w:r>
        <w:rPr/>
        <w:t xml:space="preserve"> and 2010 c 161 s 1119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t</w:t>
      </w:r>
      <w:r>
        <w:rPr/>
        <w:t xml:space="preserve">he abandonment of any vehicle creates a prima facie presumption that the last registered owner of record is responsible for the abandonment and is liable for costs incurred in removing, storing, and disposing of the abandoned vehicle, less amounts realized at auction.</w:t>
      </w:r>
    </w:p>
    <w:p>
      <w:pPr>
        <w:spacing w:before="0" w:after="0" w:line="408" w:lineRule="exact"/>
        <w:ind w:left="0" w:right="0" w:firstLine="576"/>
        <w:jc w:val="left"/>
      </w:pPr>
      <w:r>
        <w:rPr/>
        <w:t xml:space="preserve">(2) If an unauthorized vehicle is found abandoned under subsection (1) of this section and removed at the direction of law enforcement, the last registered owner of record is guilty of the traffic infraction of "littering</w:t>
      </w:r>
      <w:r>
        <w:rPr>
          <w:rFonts w:ascii="Times New Roman" w:hAnsi="Times New Roman"/>
        </w:rPr>
        <w:t xml:space="preserve">—</w:t>
      </w:r>
      <w:r>
        <w:rPr/>
        <w:t xml:space="preserve">abandoned vehicle," unless the vehicle is redeemed as provided in RCW 46.55.120. In addition to any other monetary penalty payable under chapter 46.63 RCW, the court shall not consider all monetary penalties as having been paid until the court is satisfied that the person found to have committed the infraction has made restitution in the amount of the deficiency remaining after disposal of the vehicle under RCW 46.55.140.</w:t>
      </w:r>
    </w:p>
    <w:p>
      <w:pPr>
        <w:spacing w:before="0" w:after="0" w:line="408" w:lineRule="exact"/>
        <w:ind w:left="0" w:right="0" w:firstLine="576"/>
        <w:jc w:val="left"/>
      </w:pPr>
      <w:r>
        <w:rPr/>
        <w:t xml:space="preserve">(3) A vehicle theft report filed with a law enforcement agency relieves the last registered owner of liability under subsection (2) of this section for failure to redeem the vehicle. However, the last registered owner remains liable for the costs incurred in removing, storing, and disposing of the abandoned vehicle under subsection (1) of this section. Nothing in this section limits in any way the registered owner's rights in a civil action or as restitution in a criminal action against a person responsible for the theft of the vehicle.</w:t>
      </w:r>
    </w:p>
    <w:p>
      <w:pPr>
        <w:spacing w:before="0" w:after="0" w:line="408" w:lineRule="exact"/>
        <w:ind w:left="0" w:right="0" w:firstLine="576"/>
        <w:jc w:val="left"/>
      </w:pPr>
      <w:r>
        <w:rPr/>
        <w:t xml:space="preserve">(4) Properly filing a report of sale or transfer regarding the vehicle involved in accordance with RCW 46.12.650 (1) through (3) relieves the last registered owner of liability under subsections (1) and (2) of this section. </w:t>
      </w:r>
      <w:r>
        <w:rPr>
          <w:u w:val="single"/>
        </w:rPr>
        <w:t xml:space="preserve">However, if there is a reason to believe that a report of sale has been filed in which the reported buyer did not know of the alleged transfer or did not accept the vehicle transfer, the liability remains with the last registered owner to prove the vehicle transfer was made pursuant to a legal transfer or accepted by the person reported as the new owner on the report of sale.</w:t>
      </w:r>
      <w:r>
        <w:rPr/>
        <w:t xml:space="preserve"> If the date of sale as indicated on the report of sale is </w:t>
      </w:r>
      <w:r>
        <w:t>((</w:t>
      </w:r>
      <w:r>
        <w:rPr>
          <w:strike/>
        </w:rPr>
        <w:t xml:space="preserve">on or</w:t>
      </w:r>
      <w:r>
        <w:t>))</w:t>
      </w:r>
      <w:r>
        <w:rPr/>
        <w:t xml:space="preserve"> before the date of impoundment, the buyer identified on the latest properly filed report of sale with the department is assumed liable for the costs incurred in removing, storing, and disposing of the abandoned vehicle, less amounts realized at auction. If the date of sale is after the date of impoundment, the previous registered owner is assumed to be liable for such costs. A licensed vehicle dealer is not liable under subsections (1) and (2) of this section if the dealer, as transferee or assignee of the last registered owner of the vehicle involved, has complied with the requirements of RCW 46.70.122 upon selling or otherwise disposing of the vehicle, or if the dealer has timely filed a transitional ownership record or report of sale under RCW 46.12.660. In that case the person to whom the licensed vehicle dealer has sold or transferred the vehicle is assumed liable for the costs incurred in removing, storing, and disposing of the abandoned vehicle, less amounts realized at auction.</w:t>
      </w:r>
    </w:p>
    <w:p>
      <w:pPr>
        <w:spacing w:before="0" w:after="0" w:line="408" w:lineRule="exact"/>
        <w:ind w:left="0" w:right="0" w:firstLine="576"/>
        <w:jc w:val="left"/>
      </w:pPr>
      <w:r>
        <w:rPr/>
        <w:t xml:space="preserve">(5) For the purposes of reporting notices of traffic infraction to the department under RCW 46.20.270 and 46.52.101, and for purposes of reporting notices of failure to appear, respond, or comply regarding a notice of traffic infraction to the department under RCW 46.63.070(6), a traffic infraction under subsection (2) of this section is not considered to be a standing, stopping, or parking violation.</w:t>
      </w:r>
    </w:p>
    <w:p>
      <w:pPr>
        <w:spacing w:before="0" w:after="0" w:line="408" w:lineRule="exact"/>
        <w:ind w:left="0" w:right="0" w:firstLine="576"/>
        <w:jc w:val="left"/>
      </w:pPr>
      <w:r>
        <w:rPr/>
        <w:t xml:space="preserve">(6) A notice of infraction for a violation of this section may be filed with a court of limited jurisdiction organized under Title 3, 35, or 35A RCW, or with a violations bureau subject to the court's jurisdiction.</w:t>
      </w:r>
    </w:p>
    <w:p>
      <w:pPr>
        <w:spacing w:before="0" w:after="0" w:line="408" w:lineRule="exact"/>
        <w:ind w:left="0" w:right="0" w:firstLine="576"/>
        <w:jc w:val="left"/>
      </w:pPr>
      <w:r>
        <w:rPr>
          <w:u w:val="single"/>
        </w:rPr>
        <w:t xml:space="preserve">(7)(a) A person named as a buyer in a report of sale filed under RCW 46.12.650(4) in which there was no acceptance of the transfer has a cause of action against the person who filed the report to recover costs associated with towing, storage, auction, or any other damages incurred as a result of being named as the buyer in the report of sale, including reasonable attorneys' fees and litigation costs. The cause of action provided in this subsection (7)(a) is in addition to any other remedy available to the person at law or in equity.</w:t>
      </w:r>
    </w:p>
    <w:p>
      <w:pPr>
        <w:spacing w:before="0" w:after="0" w:line="408" w:lineRule="exact"/>
        <w:ind w:left="0" w:right="0" w:firstLine="576"/>
        <w:jc w:val="left"/>
      </w:pPr>
      <w:r>
        <w:rPr>
          <w:u w:val="single"/>
        </w:rPr>
        <w:t xml:space="preserve">(b) A person named as a seller in a report of sale filed under RCW 46.12.650(4) in which the named buyer alleges that there was no acceptance of the transfer has a cause of action against the named buyer to recover damages incurred as a result of the allegation, including reasonable attorneys' fees and litigation costs. The cause of action in this subsection (7)(b) is in addition to any other remedy available to the person at law or in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If a court has declared that a fraudulent report of sale has been filed with the department, county auditor or other agent, or subagent appointed by the director, the court must notify the department in writing with a copy of the court order. Once notified, the department may remove the fraudulent report of sale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w:t>
      </w:r>
      <w:r>
        <w:rPr>
          <w:u w:val="single"/>
        </w:rPr>
        <w:t xml:space="preserve">Bring an action or initiate an arbitration proceeding on a claim for any amounts related to a transfer of sale of a vehicle when the licensee has been informed or reasonably should know that the department of licensing transfer of sale form was filed and the transfer of the vehicle was not made pursuant to a legal transfer or voluntarily accepted by the person designated as the purchaser/transferee.</w:t>
      </w:r>
    </w:p>
    <w:p>
      <w:pPr>
        <w:spacing w:before="0" w:after="0" w:line="408" w:lineRule="exact"/>
        <w:ind w:left="0" w:right="0" w:firstLine="576"/>
        <w:jc w:val="left"/>
      </w:pPr>
      <w:r>
        <w:rPr>
          <w:u w:val="single"/>
        </w:rPr>
        <w:t xml:space="preserve">(26)</w:t>
      </w:r>
      <w:r>
        <w:rPr/>
        <w:t xml:space="preserve"> Submit an affidavit or other request pursuant to chapter 6.32 RCW asking a superior or district court to transfer a bond posted by a debtor subject to a money judgment to the licensee, when the debtor has appeared as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2003 c 379 s 16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one hundred eighty days except as provided in subsection (7) of this section. The court may continue the hearing beyond the one hundred eighty days for good cause. The court shall then set a minimum monthly payment that the offender is required to make towards the restitution that is ordered. The court should take into consideration the total amount of the restitution owed, the offender's present, past, and future ability to pay, as well as any assets that the offender may have.</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t xml:space="preserve">(4) For the purposes of this section, for an offense committed prior to July 1, 2000, the offender shall remain under the court's jurisdiction for a term of ten years following the offender's release from total confinement or ten years subsequent to the entry of the judgment and sentence, whichever period ends later. Prior to the expiration of the initial ten-year period, the superior court may extend jurisdiction under the criminal judgment an additional ten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twenty-five years following the offender's release from total confinement or twenty-five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u w:val="single"/>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
      <w:pPr>
        <w:jc w:val="center"/>
      </w:pPr>
      <w:r>
        <w:rPr>
          <w:b/>
        </w:rPr>
        <w:t>--- END ---</w:t>
      </w:r>
    </w:p>
    <w:sectPr>
      <w:pgNumType w:start="1"/>
      <w:footerReference xmlns:r="http://schemas.openxmlformats.org/officeDocument/2006/relationships" r:id="R723e678218d740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251589103b4933" /><Relationship Type="http://schemas.openxmlformats.org/officeDocument/2006/relationships/footer" Target="/word/footer.xml" Id="R723e678218d74070" /></Relationships>
</file>