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9f5cd3eb54f55" /></Relationships>
</file>

<file path=word/document.xml><?xml version="1.0" encoding="utf-8"?>
<w:document xmlns:w="http://schemas.openxmlformats.org/wordprocessingml/2006/main">
  <w:body>
    <w:p>
      <w:r>
        <w:t>H-2878.1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 Hunter</w:t>
      </w:r>
    </w:p>
    <w:p/>
    <w:p>
      <w:r>
        <w:rPr>
          <w:t xml:space="preserve">Read first time 06/22/15.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the treasurer to transfer budget stabilization account deposits that are attributable to extraordinary revenue growth in the 2013-2015 and 2017-2019 fiscal biennia; creating a new section;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By June 30, 2015, the treasurer shall transfer into the state general fund the entire budget stabilization account deposit for the 2013-2015 fiscal biennium that is attributable to extraordinary revenue growth.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During the 2017-2019 fiscal biennium, the treasurer shall transfer into the state general fund the entire budget stabilization account deposit for the 2017-2019 fiscal biennium that is attributable to extraordinary revenue growth.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ee4e897dcd345e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4dcdfca0144ac" /><Relationship Type="http://schemas.openxmlformats.org/officeDocument/2006/relationships/footer" Target="/word/footer.xml" Id="R4ee4e897dcd345e9" /></Relationships>
</file>