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73a6ac6a94fb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2263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Springer, Walkinshaw, Robinson, Tharinger, Carlyle, McBride, Fitzgibbon, and Reykdal)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strengthen their communities by providing services and facilities for people with mental illness, developmental disabilities, and other vulnerable populations, and by increasing access to educational experiences through cultural organizations; amending RCW 84.52.010, 84.52.010, 36.100.040, 67.28.181, and 82.14.410; adding new sections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w:t>
      </w:r>
      <w:r>
        <w:rPr/>
        <w:t xml:space="preserve">(1) The legislature finds that:</w:t>
      </w:r>
    </w:p>
    <w:p>
      <w:pPr>
        <w:spacing w:before="0" w:after="0" w:line="408" w:lineRule="exact"/>
        <w:ind w:left="0" w:right="0" w:firstLine="576"/>
        <w:jc w:val="left"/>
      </w:pPr>
      <w:r>
        <w:rPr/>
        <w:t xml:space="preserve">(a) Many Washington cities and counties and their residents are experiencing the lingering effects of the recession. While there are many residents who have been able to successfully weather the economic downturn, unfortunately there are still individuals, families, and valued community organizations who have not. Local governments also have not been immune to this situation. Local government revenues have continued to lag behind economic growth, leaving local communities unable to make adequate and necessary investments in infrastructure and services their residents rely on and benefit from. Additional fiscal tools that provide funding for facilities, services, housing, and programs benefiting vulnerable populations as well as cultural organizations will enable local communities and their residents to choose to invest in their local institutional and human infrastructure to the benefit of the public.</w:t>
      </w:r>
    </w:p>
    <w:p>
      <w:pPr>
        <w:spacing w:before="0" w:after="0" w:line="408" w:lineRule="exact"/>
        <w:ind w:left="0" w:right="0" w:firstLine="576"/>
        <w:jc w:val="left"/>
      </w:pPr>
      <w:r>
        <w:rPr/>
        <w:t xml:space="preserve">(b) There is a demonstrated need for facilities and services in the community to help people with mental illness, individuals with developmental disabilities, and other vulnerable populations, including foster children, homeless families, veterans, and others in critical need. The need includes, but is not limited to, funding for mental health services, evaluation and treatment facilities, housing, and other projects and services for those in need.</w:t>
      </w:r>
    </w:p>
    <w:p>
      <w:pPr>
        <w:spacing w:before="0" w:after="0" w:line="408" w:lineRule="exact"/>
        <w:ind w:left="0" w:right="0" w:firstLine="576"/>
        <w:jc w:val="left"/>
      </w:pPr>
      <w:r>
        <w:rPr/>
        <w:t xml:space="preserve">(c) There is also a need to provide public and educational benefits and economic support for cultural organizations. Providing local support for the state's cultural organizations is in the public interest and will serve multiple public purposes including, among others, enhancing and extending the education reach and offerings of cultural organizations; ensuring continued and expanded access to the facilities and programs of cultural organizations by economically and geographically underserved populations; and providing financial stability to the organizations to continue and extend the numerous public benefits they provide.</w:t>
      </w:r>
    </w:p>
    <w:p>
      <w:pPr>
        <w:spacing w:before="0" w:after="0" w:line="408" w:lineRule="exact"/>
        <w:ind w:left="0" w:right="0" w:firstLine="576"/>
        <w:jc w:val="left"/>
      </w:pPr>
      <w:r>
        <w:rPr/>
        <w:t xml:space="preserve">(2) It is the intent of the legislature to provide local governments and the communities they serve the fiscal tools needed to provide these important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(b) A county with a population of one million five hundred thousand or more may not impose additional regular property tax levies under section 403 of this act.</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802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802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 giving priority to the activities in the order described in (c) of this subsection;</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Providing directly or otherwise funding and arranging for transportation for all public school students at participating schools to attend and participate annually in the age-appropriate programs and activities offered by such organizations;</w:t>
      </w:r>
    </w:p>
    <w:p>
      <w:pPr>
        <w:spacing w:before="0" w:after="0" w:line="408" w:lineRule="exact"/>
        <w:ind w:left="0" w:right="0" w:firstLine="576"/>
        <w:jc w:val="left"/>
      </w:pPr>
      <w:r>
        <w:rPr/>
        <w:t xml:space="preserve">(ii) Should funding available under this program for student transportation be inadequate in any one year due to more demand for student transportation than can be funded, increasing the subsequent annual percentage allocation to the public school cultural access program up to two percent so as to provide sufficient funds to ensure adequate funding of student transportation;</w:t>
      </w:r>
    </w:p>
    <w:p>
      <w:pPr>
        <w:spacing w:before="0" w:after="0" w:line="408" w:lineRule="exact"/>
        <w:ind w:left="0" w:right="0" w:firstLine="576"/>
        <w:jc w:val="left"/>
      </w:pPr>
      <w:r>
        <w:rPr/>
        <w:t xml:space="preserve">(iii)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(iv)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(vi)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information about the numbers and types of students who participated in the program and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 402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 subject to section 502(2) of this act;</w:t>
      </w:r>
    </w:p>
    <w:p>
      <w:pPr>
        <w:spacing w:before="0" w:after="0" w:line="408" w:lineRule="exact"/>
        <w:ind w:left="0" w:right="0" w:firstLine="576"/>
        <w:jc w:val="left"/>
      </w:pPr>
      <w:r>
        <w:rPr/>
        <w:t xml:space="preserve">(d) Seventy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w:t>
      </w:r>
    </w:p>
    <w:p>
      <w:pPr>
        <w:spacing w:before="0" w:after="0" w:line="408" w:lineRule="exact"/>
        <w:ind w:left="0" w:right="0" w:firstLine="576"/>
        <w:jc w:val="left"/>
      </w:pPr>
      <w:r>
        <w:rPr/>
        <w:t xml:space="preserve">(i) At least twenty percent of funds distributed to any regional cultural organizations under (d) of this subsection must be used to participate in the program's public school cultural access program required under section 502 of this act. The regional cultural organizations must provide or continue to provide public benefits under this section in addition to participating in the public school cultural access program.</w:t>
      </w:r>
    </w:p>
    <w:p>
      <w:pPr>
        <w:spacing w:before="0" w:after="0" w:line="408" w:lineRule="exact"/>
        <w:ind w:left="0" w:right="0" w:firstLine="576"/>
        <w:jc w:val="left"/>
      </w:pPr>
      <w:r>
        <w:rPr/>
        <w:t xml:space="preserve">(ii)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Prior to December 31st of each year, each regional cultural organization receiving funds authorized under this chapter pursuant to a program allocation formula must provide a report to the program, including:</w:t>
      </w:r>
    </w:p>
    <w:p>
      <w:pPr>
        <w:spacing w:before="0" w:after="0" w:line="408" w:lineRule="exact"/>
        <w:ind w:left="0" w:right="0" w:firstLine="576"/>
        <w:jc w:val="left"/>
      </w:pPr>
      <w:r>
        <w:rPr/>
        <w:t xml:space="preserve">(i) A preview of the public benefits the organization plans to provide or continue to provide in the following year;</w:t>
      </w:r>
    </w:p>
    <w:p>
      <w:pPr>
        <w:spacing w:before="0" w:after="0" w:line="408" w:lineRule="exact"/>
        <w:ind w:left="0" w:right="0" w:firstLine="576"/>
        <w:jc w:val="left"/>
      </w:pPr>
      <w:r>
        <w:rPr/>
        <w:t xml:space="preserve">(ii) A preview of the organization's public school cultural access program participation in the following year; and</w:t>
      </w:r>
    </w:p>
    <w:p>
      <w:pPr>
        <w:spacing w:before="0" w:after="0" w:line="408" w:lineRule="exact"/>
        <w:ind w:left="0" w:right="0" w:firstLine="576"/>
        <w:jc w:val="left"/>
      </w:pPr>
      <w:r>
        <w:rPr/>
        <w:t xml:space="preserve">(iii) A report on public benefits it provided, and its participation in the public school cultural access program,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LOCAL OPTION SALES AND USE TAX FOR HOUSING AND RELATED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within two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authorized under (a) of this subsection within three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affordable housing, which may include new units of affordable housing within an existing structure, and facilities providing housing-related services; or</w:t>
      </w:r>
    </w:p>
    <w:p>
      <w:pPr>
        <w:spacing w:before="0" w:after="0" w:line="408" w:lineRule="exact"/>
        <w:ind w:left="0" w:right="0" w:firstLine="576"/>
        <w:jc w:val="left"/>
      </w:pPr>
      <w:r>
        <w:rPr/>
        <w:t xml:space="preserve">(ii) Constructing mental and behavioral health-related facilities;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mental illness;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Homeless, or at-risk of being homeless,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mental and behavioral health treatment programs and services or housing-related services.</w:t>
      </w:r>
    </w:p>
    <w:p>
      <w:pPr>
        <w:spacing w:before="0" w:after="0" w:line="408" w:lineRule="exact"/>
        <w:ind w:left="0" w:right="0" w:firstLine="576"/>
        <w:jc w:val="left"/>
      </w:pPr>
      <w:r>
        <w:rPr/>
        <w:t xml:space="preserve">(3) A county that imposes the tax under this section must consult with a city before the county may construct any of the facilities authorized under subsection (2)(a) of this section within the city limits.</w:t>
      </w:r>
    </w:p>
    <w:p>
      <w:pPr>
        <w:spacing w:before="0" w:after="0" w:line="408" w:lineRule="exact"/>
        <w:ind w:left="0" w:right="0" w:firstLine="576"/>
        <w:jc w:val="left"/>
      </w:pPr>
      <w:r>
        <w:rPr/>
        <w:t xml:space="preserve">(4) A county that has not imposed the tax authorized under RCW 82.14.460 prior to the effective date of this section, but imposes the tax authorized under this section after a city in that county has imposed the tax authorized under RCW 82.14.460 prior to the effective date of this section,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c 151 s 1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 (a) Having fewer than sixty lodging units; or (b) classified as a hostel.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 (a) Having fewer than sixty lodging units;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w:t>
      </w:r>
      <w:r>
        <w:rPr>
          <w:u w:val="single"/>
        </w:rPr>
        <w:t xml:space="preserve">In determining the effective combined rate of tax for purposes of the limit in subsection (3) of this section, the tax rate under section 701 of this act is not included.</w:t>
      </w:r>
    </w:p>
    <w:p>
      <w:pPr>
        <w:spacing w:before="0" w:after="0" w:line="408" w:lineRule="exact"/>
        <w:ind w:left="0" w:right="0" w:firstLine="576"/>
        <w:jc w:val="left"/>
      </w:pPr>
      <w:r>
        <w:rPr>
          <w:u w:val="single"/>
        </w:rPr>
        <w:t xml:space="preserve">(11)</w:t>
      </w:r>
      <w:r>
        <w:rPr/>
        <w:t xml:space="preserve"> The taxes imposed in this section do not apply to sales of temporary medical housing exempt under RCW 82.08.997.</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2004 c 79 s 8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67.40,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67.40,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u w:val="single"/>
        </w:rPr>
        <w:t xml:space="preserve">(4) In determining the effective combined rate of tax for purposes of the limit in subsections (1) and (2)(c) of this section, the tax rate under section 701 of this act is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2001 c 6 s 1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w:t>
      </w:r>
      <w:r>
        <w:rPr>
          <w:u w:val="single"/>
        </w:rPr>
        <w:t xml:space="preserve">, and taxes imposed under section 701 of this act</w:t>
      </w:r>
      <w:r>
        <w:rPr/>
        <w:t xml:space="preserve">.</w:t>
      </w:r>
    </w:p>
    <w:p>
      <w:pPr>
        <w:keepNext/>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b864ddcb37bb42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f585bf756408c" /><Relationship Type="http://schemas.openxmlformats.org/officeDocument/2006/relationships/footer" Target="/word/footer.xml" Id="Rb864ddcb37bb42b6" /></Relationships>
</file>