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b2a3ee8cde4639" /></Relationships>
</file>

<file path=word/document.xml><?xml version="1.0" encoding="utf-8"?>
<w:document xmlns:w="http://schemas.openxmlformats.org/wordprocessingml/2006/main">
  <w:body>
    <w:p>
      <w:r>
        <w:t>H-3927.1</w:t>
      </w:r>
    </w:p>
    <w:p>
      <w:pPr>
        <w:jc w:val="center"/>
      </w:pPr>
      <w:r>
        <w:t>_______________________________________________</w:t>
      </w:r>
    </w:p>
    <w:p/>
    <w:p>
      <w:pPr>
        <w:jc w:val="center"/>
      </w:pPr>
      <w:r>
        <w:rPr>
          <w:b/>
        </w:rPr>
        <w:t>SUBSTITUTE HOUSE BILL 2261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Technology &amp; Economic Development (originally sponsored by Representatives Shea, Reykdal, Taylor, Scott, and Van Werven)</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utility customers by modifying the authority of utilities to backbill customers for charges missed due to utility error; adding a new section to chapter 19.29A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large retroactive utility bills may impose undue hardship on residential customers, particularly those living on low and fixed incomes. The legislature intends to limit the period of time for which a consumer-owned utility may issue a corrected bill when the billing error is attributable to circumstances within the utility's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A consumer-owned utility may not collect amounts underbilled due to a billing error of the consumer-owned utility for any period greater than six months from the date the billing error occurred.</w:t>
      </w:r>
    </w:p>
    <w:p>
      <w:pPr>
        <w:spacing w:before="0" w:after="0" w:line="408" w:lineRule="exact"/>
        <w:ind w:left="0" w:right="0" w:firstLine="576"/>
        <w:jc w:val="left"/>
      </w:pPr>
      <w:r>
        <w:rPr/>
        <w:t xml:space="preserve">(2) For purposes of this section "billing error" means error arising from: (a) Nonregistering, incorrectly registering, or crossed meters; (b) other faulty equipment; and (c) administrative error, including incorrect meter reads, clerical errors, incorrect billing calculations, and application of an incorrect daily billing factor.</w:t>
      </w:r>
    </w:p>
    <w:p/>
    <w:p>
      <w:pPr>
        <w:jc w:val="center"/>
      </w:pPr>
      <w:r>
        <w:rPr>
          <w:b/>
        </w:rPr>
        <w:t>--- END ---</w:t>
      </w:r>
    </w:p>
    <w:sectPr>
      <w:pgNumType w:start="1"/>
      <w:footerReference xmlns:r="http://schemas.openxmlformats.org/officeDocument/2006/relationships" r:id="R1448d382306b49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ba2e0fad634db2" /><Relationship Type="http://schemas.openxmlformats.org/officeDocument/2006/relationships/footer" Target="/word/footer.xml" Id="R1448d382306b49f5" /></Relationships>
</file>