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e21ed426554960" /></Relationships>
</file>

<file path=word/document.xml><?xml version="1.0" encoding="utf-8"?>
<w:document xmlns:w="http://schemas.openxmlformats.org/wordprocessingml/2006/main">
  <w:body>
    <w:p>
      <w:r>
        <w:t>H-2750.2</w:t>
      </w:r>
    </w:p>
    <w:p>
      <w:pPr>
        <w:jc w:val="center"/>
      </w:pPr>
      <w:r>
        <w:t>_______________________________________________</w:t>
      </w:r>
    </w:p>
    <w:p/>
    <w:p>
      <w:pPr>
        <w:jc w:val="center"/>
      </w:pPr>
      <w:r>
        <w:rPr>
          <w:b/>
        </w:rPr>
        <w:t>HOUSE BILL 2248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Santos and Orwall</w:t>
      </w:r>
    </w:p>
    <w:p/>
    <w:p>
      <w:r>
        <w:rPr>
          <w:t xml:space="preserve">Read first time 04/24/15.  </w:t>
        </w:rPr>
      </w:r>
      <w:r>
        <w:rPr>
          <w:t xml:space="preserve">Referred to Committee on Education.</w:t>
        </w:rPr>
      </w:r>
    </w:p>
    <w:p>
      <w:r>
        <w:br/>
      </w:r>
    </w:p>
    <w:p>
      <w:r>
        <w:fldChar w:fldCharType="begin"/>
      </w:r>
      <w:r>
        <w:instrText xml:space="default"> ADVANCE \y328 </w:instrText>
      </w:r>
      <w:r>
        <w:fldChar w:fldCharType="end"/>
      </w:r>
    </w:p>
    <w:p>
      <w:pPr>
        <w:ind w:left="0" w:right="0" w:firstLine="360"/>
        <w:jc w:val="both"/>
      </w:pPr>
      <w:r>
        <w:rPr/>
        <w:t xml:space="preserve">AN ACT Relating to transition services for special education students; amending RCW 28A.155.220; and creating a new section.</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research continues to suggest that high expectations for students with disabilities is paramount to improving student outcomes. The legislature further finds that to increase the number of students with disabilities who are prepared for higher education, teachers and administrators in K-12 education should continue to improve their acceptance of students with disabilities as full-fledged learners for whom there are high expectations. The legislature also encourages continuous development in transition services to higher education opportunities for these students. The legislature recognizes that other states have authorized transition planning to postsecondary settings for students with disabilities as early as the age of fourteen. To remove barriers and obstacles for students with disabilities to access to postsecondary settings including higher education, the legislature intends to authorize transition planning for students with disabilities as soon as practicable when educationally and developmentally appropriate.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220</w:t>
      </w:r>
      <w:r>
        <w:rPr/>
        <w:t xml:space="preserve"> and 2014 c 47 s 1 are each amended to read as follows:</w:t>
      </w:r>
    </w:p>
    <w:p>
      <w:pPr>
        <w:ind w:left="0" w:right="0" w:firstLine="360"/>
        <w:jc w:val="both"/>
      </w:pPr>
      <w:r>
        <w:rPr/>
        <w:t xml:space="preserve">(1) The office of the superintendent of public instruction must establish interagency agreements with the department of social and health services, the department of services for the blind, and any other state agency that provides high school transition services for special education students. Such interagency agreements shall not interfere with existing individualized education programs </w:t>
      </w:r>
      <w:r>
        <w:rPr>
          <w:u w:val="single"/>
        </w:rPr>
        <w:t xml:space="preserve">or section 504 plans</w:t>
      </w:r>
      <w:r>
        <w:rPr/>
        <w:t xml:space="preserve">, nor override any individualized education program </w:t>
      </w:r>
      <w:r>
        <w:rPr>
          <w:u w:val="single"/>
        </w:rPr>
        <w:t xml:space="preserve">or section 504 planning</w:t>
      </w:r>
      <w:r>
        <w:rPr/>
        <w:t xml:space="preserve"> team's decision-making power. The purpose of the interagency agreements is to foster effective collaboration among the multiple agencies providing transition services for individualized education </w:t>
      </w:r>
      <w:r>
        <w:t>((</w:t>
      </w:r>
      <w:r>
        <w:rPr>
          <w:strike/>
        </w:rPr>
        <w:t xml:space="preserve">plan</w:t>
      </w:r>
      <w:r>
        <w:t>))</w:t>
      </w:r>
      <w:r>
        <w:rPr/>
        <w:t xml:space="preserve"> </w:t>
      </w:r>
      <w:r>
        <w:rPr>
          <w:u w:val="single"/>
        </w:rPr>
        <w:t xml:space="preserve">program-</w:t>
      </w:r>
      <w:r>
        <w:rPr/>
        <w:t xml:space="preserve">eligible </w:t>
      </w:r>
      <w:r>
        <w:rPr>
          <w:u w:val="single"/>
        </w:rPr>
        <w:t xml:space="preserve">and section 504 plan-eligible</w:t>
      </w:r>
      <w:r>
        <w:rPr/>
        <w:t xml:space="preserve"> special education students from the beginning of transition planning</w:t>
      </w:r>
      <w:r>
        <w:rPr>
          <w:u w:val="single"/>
        </w:rPr>
        <w:t xml:space="preserve">, as soon as educationally and developmentally appropriate,</w:t>
      </w:r>
      <w:r>
        <w:rPr/>
        <w:t xml:space="preserve"> through age twenty-one, or through high school graduation, whichever occurs first. Interagency agreements are also intended to streamline services and programs, promote efficiencies, and establish a uniform focus on improved outcomes related to self-sufficiency. </w:t>
      </w:r>
      <w:r>
        <w:t>((</w:t>
      </w:r>
      <w:r>
        <w:rPr>
          <w:strike/>
        </w:rPr>
        <w:t xml:space="preserve">This subsection does not require transition services plan development in addition to what exists on June 12, 2014.</w:t>
      </w:r>
      <w:r>
        <w:t>))</w:t>
      </w:r>
    </w:p>
    <w:p>
      <w:pPr>
        <w:ind w:left="0" w:right="0" w:firstLine="360"/>
        <w:jc w:val="both"/>
      </w:pPr>
      <w:r>
        <w:rPr/>
        <w:t xml:space="preserve">(2)</w:t>
      </w:r>
      <w:r>
        <w:rPr>
          <w:u w:val="single"/>
        </w:rPr>
        <w:t xml:space="preserve">(a) When educationally and developmentally appropriate, the interagency responsibilities and linkages with transition services under subsection (1) of this section must be addressed in a transition plan to a postsecondary setting in the section 504 plan of a student with disabilities.</w:t>
      </w:r>
    </w:p>
    <w:p>
      <w:pPr>
        <w:ind w:left="0" w:right="0" w:firstLine="360"/>
        <w:jc w:val="both"/>
      </w:pPr>
      <w:r>
        <w:rPr>
          <w:u w:val="single"/>
        </w:rPr>
        <w:t xml:space="preserve">(b) Transition planning shall be based upon educationally and developmentally appropriate transition assessments that outline the student's individual needs, strengths, preferences, and interests. Transition assessments may include observations, interviews, inventories, situational assessments, formal and informal assessments, as well as academic assessments.</w:t>
      </w:r>
    </w:p>
    <w:p>
      <w:pPr>
        <w:ind w:left="0" w:right="0" w:firstLine="360"/>
        <w:jc w:val="both"/>
      </w:pPr>
      <w:r>
        <w:rPr>
          <w:u w:val="single"/>
        </w:rPr>
        <w:t xml:space="preserve">(c) The transition services that the transition plan must address include activities needed to assist the student in reaching postsecondary goals and courses of study to support postsecondary goals.</w:t>
      </w:r>
    </w:p>
    <w:p>
      <w:pPr>
        <w:ind w:left="0" w:right="0" w:firstLine="360"/>
        <w:jc w:val="both"/>
      </w:pPr>
      <w:r>
        <w:rPr>
          <w:u w:val="single"/>
        </w:rPr>
        <w:t xml:space="preserve">(d) Transition activities that the transition plan may address include instruction, related services, community experience, employment and other adult living objectives, daily living skills, and functional vocational evaluation.</w:t>
      </w:r>
    </w:p>
    <w:p>
      <w:pPr>
        <w:ind w:left="0" w:right="0" w:firstLine="360"/>
        <w:jc w:val="both"/>
      </w:pPr>
      <w:r>
        <w:rPr>
          <w:u w:val="single"/>
        </w:rPr>
        <w:t xml:space="preserve">(e) When educationally and developmentally appropriate, a discussion must take place with the student and parents, and others as needed, to determine the postsecondary goals or postschool vision for the student. This discussion may be included as part of an annual section 504 plan review, high school and beyond plan meeting, or any other meeting that includes parents, students, and educators. The postsecondary goals included in the transition plan shall be goals that are measurable and must be based on appropriate transition assessments related to training, education, employment, and independent living skills, when necessary. The goals must also be based on the student's needs, while considering the strengths, preferences, and interests of the student.</w:t>
      </w:r>
    </w:p>
    <w:p>
      <w:pPr>
        <w:ind w:left="0" w:right="0" w:firstLine="360"/>
        <w:jc w:val="both"/>
      </w:pPr>
      <w:r>
        <w:rPr>
          <w:u w:val="single"/>
        </w:rPr>
        <w:t xml:space="preserve">(f) As the student gets older, changes in the transition plan may be noted in the annual update of the student's section 504 plan.</w:t>
      </w:r>
    </w:p>
    <w:p>
      <w:pPr>
        <w:ind w:left="0" w:right="0" w:firstLine="360"/>
        <w:jc w:val="both"/>
      </w:pPr>
      <w:r>
        <w:rPr>
          <w:u w:val="single"/>
        </w:rPr>
        <w:t xml:space="preserve">(g) A student with disabilities who has a high school and beyond plan may use the plan to comply with the transition plan required under this subsection (2).</w:t>
      </w:r>
    </w:p>
    <w:p>
      <w:pPr>
        <w:ind w:left="0" w:right="0" w:firstLine="360"/>
        <w:jc w:val="both"/>
      </w:pPr>
      <w:r>
        <w:rPr>
          <w:u w:val="single"/>
        </w:rPr>
        <w:t xml:space="preserve">(3)</w:t>
      </w:r>
      <w:r>
        <w:rPr/>
        <w:t xml:space="preserve"> To the extent that data is available through data-sharing agreements established by the education data center under RCW 43.41.400, the education data center must monitor the following outcomes for individualized education </w:t>
      </w:r>
      <w:r>
        <w:t>((</w:t>
      </w:r>
      <w:r>
        <w:rPr>
          <w:strike/>
        </w:rPr>
        <w:t xml:space="preserve">plan</w:t>
      </w:r>
      <w:r>
        <w:t>))</w:t>
      </w:r>
      <w:r>
        <w:rPr/>
        <w:t xml:space="preserve"> </w:t>
      </w:r>
      <w:r>
        <w:rPr>
          <w:u w:val="single"/>
        </w:rPr>
        <w:t xml:space="preserve">program-</w:t>
      </w:r>
      <w:r>
        <w:rPr/>
        <w:t xml:space="preserve">eligible </w:t>
      </w:r>
      <w:r>
        <w:rPr>
          <w:u w:val="single"/>
        </w:rPr>
        <w:t xml:space="preserve">or section 504 plan-eligible</w:t>
      </w:r>
      <w:r>
        <w:rPr/>
        <w:t xml:space="preserve"> special education students after high school graduation:</w:t>
      </w:r>
    </w:p>
    <w:p>
      <w:pPr>
        <w:ind w:left="0" w:right="0" w:firstLine="360"/>
        <w:jc w:val="both"/>
      </w:pPr>
      <w:r>
        <w:rPr/>
        <w:t xml:space="preserve">(a) The number of students who, within one year of high school graduation:</w:t>
      </w:r>
    </w:p>
    <w:p>
      <w:pPr>
        <w:ind w:left="0" w:right="0" w:firstLine="360"/>
        <w:jc w:val="both"/>
      </w:pPr>
      <w:r>
        <w:rPr/>
        <w:t xml:space="preserve">(i) Enter integrated employment paid at the greater of minimum wage or competitive wage for the type of employment, with access to related employment and health benefits; or</w:t>
      </w:r>
    </w:p>
    <w:p>
      <w:pPr>
        <w:ind w:left="0" w:right="0" w:firstLine="360"/>
        <w:jc w:val="both"/>
      </w:pPr>
      <w:r>
        <w:rPr/>
        <w:t xml:space="preserve">(ii) Enter a postsecondary education or training program focused on leading to integrated employment;</w:t>
      </w:r>
    </w:p>
    <w:p>
      <w:pPr>
        <w:ind w:left="0" w:right="0" w:firstLine="360"/>
        <w:jc w:val="both"/>
      </w:pPr>
      <w:r>
        <w:rPr/>
        <w:t xml:space="preserve">(b) The wages and number of hours worked per pay period;</w:t>
      </w:r>
    </w:p>
    <w:p>
      <w:pPr>
        <w:ind w:left="0" w:right="0" w:firstLine="360"/>
        <w:jc w:val="both"/>
      </w:pPr>
      <w:r>
        <w:rPr/>
        <w:t xml:space="preserve">(c) The impact of employment on any state and federal benefits for individuals with disabilities;</w:t>
      </w:r>
    </w:p>
    <w:p>
      <w:pPr>
        <w:ind w:left="0" w:right="0" w:firstLine="360"/>
        <w:jc w:val="both"/>
      </w:pPr>
      <w:r>
        <w:rPr/>
        <w:t xml:space="preserve">(d) Indicators of the types of settings in which students who previously received transition services primarily reside;</w:t>
      </w:r>
    </w:p>
    <w:p>
      <w:pPr>
        <w:ind w:left="0" w:right="0" w:firstLine="360"/>
        <w:jc w:val="both"/>
      </w:pPr>
      <w:r>
        <w:rPr/>
        <w:t xml:space="preserve">(e) Indicators of improved economic status and self-sufficiency;</w:t>
      </w:r>
    </w:p>
    <w:p>
      <w:pPr>
        <w:ind w:left="0" w:right="0" w:firstLine="360"/>
        <w:jc w:val="both"/>
      </w:pPr>
      <w:r>
        <w:rPr/>
        <w:t xml:space="preserve">(f) Data on those students for whom a postsecondary or integrated employment outcome does not occur within one year of high school graduation, including:</w:t>
      </w:r>
    </w:p>
    <w:p>
      <w:pPr>
        <w:ind w:left="0" w:right="0" w:firstLine="360"/>
        <w:jc w:val="both"/>
      </w:pPr>
      <w:r>
        <w:rPr/>
        <w:t xml:space="preserve">(i) Information on the reasons that the desired outcome has not occurred;</w:t>
      </w:r>
    </w:p>
    <w:p>
      <w:pPr>
        <w:ind w:left="0" w:right="0" w:firstLine="360"/>
        <w:jc w:val="both"/>
      </w:pPr>
      <w:r>
        <w:rPr/>
        <w:t xml:space="preserve">(ii) The number of months the student has not achieved the desired outcome; and</w:t>
      </w:r>
    </w:p>
    <w:p>
      <w:pPr>
        <w:ind w:left="0" w:right="0" w:firstLine="360"/>
        <w:jc w:val="both"/>
      </w:pPr>
      <w:r>
        <w:rPr/>
        <w:t xml:space="preserve">(iii) The efforts made to ensure the student achieves the desired outcome.</w:t>
      </w:r>
    </w:p>
    <w:p>
      <w:pPr>
        <w:ind w:left="0" w:right="0" w:firstLine="360"/>
        <w:jc w:val="both"/>
      </w:pPr>
      <w:r>
        <w:t>((</w:t>
      </w:r>
      <w:r>
        <w:rPr>
          <w:strike/>
        </w:rPr>
        <w:t xml:space="preserve">(3)</w:t>
      </w:r>
      <w:r>
        <w:t>))</w:t>
      </w:r>
      <w:r>
        <w:rPr/>
        <w:t xml:space="preserve"> </w:t>
      </w:r>
      <w:r>
        <w:rPr>
          <w:u w:val="single"/>
        </w:rPr>
        <w:t xml:space="preserve">(4)</w:t>
      </w:r>
      <w:r>
        <w:rPr/>
        <w:t xml:space="preserve"> To the extent that the data elements in subsection </w:t>
      </w:r>
      <w:r>
        <w:t>((</w:t>
      </w:r>
      <w:r>
        <w:rPr>
          <w:strike/>
        </w:rPr>
        <w:t xml:space="preserve">(2)</w:t>
      </w:r>
      <w:r>
        <w:t>))</w:t>
      </w:r>
      <w:r>
        <w:rPr/>
        <w:t xml:space="preserve"> </w:t>
      </w:r>
      <w:r>
        <w:rPr>
          <w:u w:val="single"/>
        </w:rPr>
        <w:t xml:space="preserve">(3)</w:t>
      </w:r>
      <w:r>
        <w:rPr/>
        <w:t xml:space="preserve"> of this section are available to the education data center through data-sharing agreements, the office of the superintendent of public instruction must prepare an annual report using existing resources and submit the report to the legislature.</w:t>
      </w:r>
    </w:p>
    <w:p/>
    <w:p>
      <w:pPr>
        <w:jc w:val="center"/>
      </w:pPr>
      <w:r>
        <w:rPr>
          <w:b/>
        </w:rPr>
        <w:t>--- END ---</w:t>
      </w:r>
    </w:p>
    <w:sectPr>
      <w:pgNumType w:start="1"/>
      <w:footerReference xmlns:r="http://schemas.openxmlformats.org/officeDocument/2006/relationships" r:id="R0cf37bafad8d4a1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e55f6c9b464f6e" /><Relationship Type="http://schemas.openxmlformats.org/officeDocument/2006/relationships/footer" Target="/word/footer.xml" Id="R0cf37bafad8d4a15" /></Relationships>
</file>