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80a5ec184299" /></Relationships>
</file>

<file path=word/document.xml><?xml version="1.0" encoding="utf-8"?>
<w:document xmlns:w="http://schemas.openxmlformats.org/wordprocessingml/2006/main">
  <w:body>
    <w:p>
      <w:r>
        <w:t>H-2462.1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while improving the fairness of Washington's excise tax system by reinstating a previously expired surtax on certain business and occupation taxes while increasing the small business tax credit.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investing in education and essential public services while improving the fairness of Washington's excise tax system by reinstating a previously expired surtax on certain business and occupation taxes while increasing the small business tax credit.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626edafc8fb45c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8a2d85924c7c" /><Relationship Type="http://schemas.openxmlformats.org/officeDocument/2006/relationships/footer" Target="/word/footer.xml" Id="R6626edafc8fb45c5" /></Relationships>
</file>