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0e28cda05344ca" /></Relationships>
</file>

<file path=word/document.xml><?xml version="1.0" encoding="utf-8"?>
<w:document xmlns:w="http://schemas.openxmlformats.org/wordprocessingml/2006/main">
  <w:body>
    <w:p>
      <w:r>
        <w:t>H-2452.3</w:t>
      </w:r>
    </w:p>
    <w:p>
      <w:pPr>
        <w:jc w:val="center"/>
      </w:pPr>
      <w:r>
        <w:t>_______________________________________________</w:t>
      </w:r>
    </w:p>
    <w:p/>
    <w:p>
      <w:pPr>
        <w:jc w:val="center"/>
      </w:pPr>
      <w:r>
        <w:rPr>
          <w:b/>
        </w:rPr>
        <w:t>HOUSE BILL 2222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Sullivan, Carlyle, and Walkinshaw</w:t>
      </w:r>
    </w:p>
    <w:p/>
    <w:p>
      <w:r>
        <w:rPr>
          <w:t xml:space="preserve">Read first time 03/30/15.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implementing the state's basic education obligation by revising state funding allocations, including for staffing and for class size reduction, and by providing cost-of-living adjustments and benefits as part of state basic education allocations; amending RCW 28A.150.261, 28A.400.205, 28A.150.250, and 28A.150.410; amending 2015 c 2 s 5 (uncodified); reenacting and amending RCW 28A.150.260; adding new sections to chapter 28A.150 RCW; creating a new section; recodifying RCW 28A.400.205; and providing effective dates.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It is the intent of the legislature to make education investments that demonstrate successful outcomes for common school students, including funding to reduce class sizes for the grades in which it is most effective, and funding to support career and college readiness, such as guidance counselors.</w:t>
      </w:r>
    </w:p>
    <w:p>
      <w:pPr>
        <w:ind w:left="0" w:right="0" w:firstLine="360"/>
        <w:jc w:val="both"/>
      </w:pPr>
      <w:r>
        <w:rPr/>
        <w:t xml:space="preserve">It is also the intent of the legislature to provide sufficient funding to allow school districts to hire and retain qualified teachers and other staff to implement the state's program of basic education. Part of this obligation is providing assurance that state allocations for school employee compensation will increase commensurate with increases in the cost of living. Another part of this obligation is allocating state funding for health care insurance for school district employees based on the same rate at which the state provides health care benefits for state employees.</w:t>
      </w:r>
    </w:p>
    <w:p>
      <w:pPr>
        <w:ind w:left="0" w:right="0" w:firstLine="360"/>
        <w:jc w:val="both"/>
      </w:pPr>
      <w:r>
        <w:rPr/>
        <w:t xml:space="preserve">To these ends, the legislature intends to revise the program of basic education to implement a schedule for class size reduction, staffing enhancements, and other formula enhancements, and to make allocations for cost-of-living increases and health insurance benefits part of the basic education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and 2014 c 217 s 206 are each reenacted and amended to read as follows:</w:t>
      </w:r>
    </w:p>
    <w:p>
      <w:pPr>
        <w:ind w:left="0" w:right="0" w:firstLine="360"/>
        <w:jc w:val="both"/>
      </w:pPr>
      <w:r>
        <w:rPr/>
        <w:t xml:space="preserve">REVISIONS TO BASIC EDUCATION FUNDING FORMULAS.</w:t>
      </w:r>
    </w:p>
    <w:p>
      <w:pPr>
        <w:ind w:left="0" w:right="0" w:firstLine="360"/>
        <w:jc w:val="both"/>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ind w:left="0" w:right="0" w:firstLine="360"/>
        <w:jc w:val="both"/>
      </w:pPr>
      <w:r>
        <w:rPr/>
        <w:t xml:space="preserve">(1) The governor shall and the superintendent of public instruction may recommend to the legislature a formula for the distribution of a basic education instructional allocation for each common school district.</w:t>
      </w:r>
    </w:p>
    <w:p>
      <w:pPr>
        <w:ind w:left="0" w:right="0" w:firstLine="360"/>
        <w:jc w:val="both"/>
      </w:pPr>
      <w:r>
        <w:rPr/>
        <w:t xml:space="preserve">(2)</w:t>
      </w:r>
      <w:r>
        <w:rPr>
          <w:u w:val="single"/>
        </w:rPr>
        <w:t xml:space="preserve">(a)</w:t>
      </w:r>
      <w:r>
        <w:rPr/>
        <w:t xml:space="preserve"> The distribution formula under this section shall be for allocation purposes only. Except </w:t>
      </w:r>
      <w:r>
        <w:t>((</w:t>
      </w:r>
      <w:r>
        <w:rPr>
          <w:strike/>
        </w:rPr>
        <w:t xml:space="preserve">as required for class size reduction funding provided under subsection (4)(f) of this section and</w:t>
      </w:r>
      <w:r>
        <w:t>))</w:t>
      </w:r>
      <w:r>
        <w:rPr/>
        <w:t xml:space="preserve">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ind w:left="0" w:right="0" w:firstLine="360"/>
        <w:jc w:val="both"/>
      </w:pPr>
      <w:r>
        <w:rPr>
          <w:u w:val="single"/>
        </w:rPr>
        <w:t xml:space="preserve">(b) As part of the state's distribution formula for basic education, allocations under this section must include salary cost-of-living adjustments as required by RCW 28A.400.205 (as recodified by this act) and allocations for school district employee health insurance benefits under section 7 of this act.</w:t>
      </w:r>
    </w:p>
    <w:p>
      <w:pPr>
        <w:ind w:left="0" w:right="0" w:firstLine="360"/>
        <w:jc w:val="both"/>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ind w:left="0" w:right="0" w:firstLine="360"/>
        <w:jc w:val="both"/>
      </w:pPr>
      <w:r>
        <w:rPr/>
        <w:t xml:space="preserve">(b) For the purposes of this section, prototypical schools are defined as follows:</w:t>
      </w:r>
    </w:p>
    <w:p>
      <w:pPr>
        <w:ind w:left="0" w:right="0" w:firstLine="360"/>
        <w:jc w:val="both"/>
      </w:pPr>
      <w:r>
        <w:rPr/>
        <w:t xml:space="preserve">(i) A prototypical high school has six hundred average annual full-time equivalent students in grades nine through twelve;</w:t>
      </w:r>
    </w:p>
    <w:p>
      <w:pPr>
        <w:ind w:left="0" w:right="0" w:firstLine="360"/>
        <w:jc w:val="both"/>
      </w:pPr>
      <w:r>
        <w:rPr/>
        <w:t xml:space="preserve">(ii) A prototypical middle school has four hundred thirty-two average annual full-time equivalent students in grades seven and eight; and</w:t>
      </w:r>
    </w:p>
    <w:p>
      <w:pPr>
        <w:ind w:left="0" w:right="0" w:firstLine="360"/>
        <w:jc w:val="both"/>
      </w:pPr>
      <w:r>
        <w:rPr/>
        <w:t xml:space="preserve">(iii) A prototypical elementary school has four hundred average annual full-time equivalent students in grades kindergarten through six.</w:t>
      </w:r>
    </w:p>
    <w:p>
      <w:pPr>
        <w:ind w:left="0" w:right="0" w:firstLine="360"/>
        <w:jc w:val="both"/>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ind w:left="0" w:right="0" w:firstLine="360"/>
        <w:jc w:val="right"/>
      </w:pPr>
      <w:r>
        <w:rPr/>
        <w:t xml:space="preserve">General education</w:t>
      </w:r>
    </w:p>
    <w:p>
      <w:pPr>
        <w:ind w:left="0" w:right="0" w:firstLine="360"/>
        <w:jc w:val="right"/>
      </w:pPr>
      <w:r>
        <w:rPr/>
        <w:t xml:space="preserve">average</w:t>
      </w:r>
    </w:p>
    <w:p>
      <w:pPr>
        <w:ind w:left="0" w:right="0" w:firstLine="360"/>
        <w:jc w:val="right"/>
      </w:pPr>
      <w:r>
        <w:rPr/>
        <w:t xml:space="preserve">class size</w:t>
      </w:r>
    </w:p>
    <w:p>
      <w:pPr>
        <w:ind w:left="0" w:right="0" w:firstLine="0"/>
        <w:jc w:val="both"/>
        <w:tabs>
          <w:tab w:val="right" w:leader="dot" w:pos="9936"/>
        </w:tabs>
      </w:pPr>
      <w:r>
        <w:rPr/>
        <w:t xml:space="preserve">Grades K-3</w:t>
      </w:r>
      <w:r>
        <w:tab/>
      </w:r>
      <w:r>
        <w:rPr/>
        <w:t xml:space="preserve"> 17.0</w:t>
      </w:r>
    </w:p>
    <w:p>
      <w:pPr>
        <w:ind w:left="0" w:right="0" w:firstLine="0"/>
        <w:jc w:val="both"/>
        <w:tabs>
          <w:tab w:val="right" w:leader="dot" w:pos="9936"/>
        </w:tabs>
      </w:pPr>
      <w:r>
        <w:rPr/>
        <w:t xml:space="preserve">Grade 4</w:t>
      </w:r>
      <w:r>
        <w:tab/>
      </w:r>
      <w:r>
        <w:rPr/>
        <w:t xml:space="preserve"> </w:t>
      </w:r>
      <w:r>
        <w:t>((</w:t>
      </w:r>
      <w:r>
        <w:rPr>
          <w:strike/>
        </w:rPr>
        <w:t xml:space="preserve">25.0</w:t>
      </w:r>
      <w:r>
        <w:t>))</w:t>
      </w:r>
      <w:r>
        <w:rPr/>
        <w:t xml:space="preserve"> </w:t>
      </w:r>
      <w:r>
        <w:rPr>
          <w:u w:val="single"/>
        </w:rPr>
        <w:t xml:space="preserve">27.00</w:t>
      </w:r>
    </w:p>
    <w:p>
      <w:pPr>
        <w:ind w:left="0" w:right="0" w:firstLine="0"/>
        <w:jc w:val="both"/>
        <w:tabs>
          <w:tab w:val="right" w:leader="dot" w:pos="9936"/>
        </w:tabs>
      </w:pPr>
      <w:r>
        <w:rPr/>
        <w:t xml:space="preserve">Grades 5-6</w:t>
      </w:r>
      <w:r>
        <w:tab/>
      </w:r>
      <w:r>
        <w:rPr/>
        <w:t xml:space="preserve"> </w:t>
      </w:r>
      <w:r>
        <w:t>((</w:t>
      </w:r>
      <w:r>
        <w:rPr>
          <w:strike/>
        </w:rPr>
        <w:t xml:space="preserve">25.0</w:t>
      </w:r>
      <w:r>
        <w:t>))</w:t>
      </w:r>
      <w:r>
        <w:rPr/>
        <w:t xml:space="preserve"> </w:t>
      </w:r>
      <w:r>
        <w:rPr>
          <w:u w:val="single"/>
        </w:rPr>
        <w:t xml:space="preserve">27.00</w:t>
      </w:r>
    </w:p>
    <w:p>
      <w:pPr>
        <w:ind w:left="0" w:right="0" w:firstLine="0"/>
        <w:jc w:val="both"/>
        <w:tabs>
          <w:tab w:val="right" w:leader="dot" w:pos="9936"/>
        </w:tabs>
      </w:pPr>
      <w:r>
        <w:rPr/>
        <w:t xml:space="preserve">Grades 7-8</w:t>
      </w:r>
      <w:r>
        <w:tab/>
      </w:r>
      <w:r>
        <w:rPr/>
        <w:t xml:space="preserve"> </w:t>
      </w:r>
      <w:r>
        <w:t>((</w:t>
      </w:r>
      <w:r>
        <w:rPr>
          <w:strike/>
        </w:rPr>
        <w:t xml:space="preserve">25.0</w:t>
      </w:r>
      <w:r>
        <w:t>))</w:t>
      </w:r>
      <w:r>
        <w:rPr/>
        <w:t xml:space="preserve"> </w:t>
      </w:r>
      <w:r>
        <w:rPr>
          <w:u w:val="single"/>
        </w:rPr>
        <w:t xml:space="preserve">28.53</w:t>
      </w:r>
    </w:p>
    <w:p>
      <w:pPr>
        <w:ind w:left="0" w:right="0" w:firstLine="0"/>
        <w:jc w:val="both"/>
        <w:tabs>
          <w:tab w:val="right" w:leader="dot" w:pos="9936"/>
        </w:tabs>
      </w:pPr>
      <w:r>
        <w:rPr/>
        <w:t xml:space="preserve">Grades 9-12</w:t>
      </w:r>
      <w:r>
        <w:tab/>
      </w:r>
      <w:r>
        <w:rPr/>
        <w:t xml:space="preserve"> </w:t>
      </w:r>
      <w:r>
        <w:t>((</w:t>
      </w:r>
      <w:r>
        <w:rPr>
          <w:strike/>
        </w:rPr>
        <w:t xml:space="preserve">25.0</w:t>
      </w:r>
      <w:r>
        <w:t>))</w:t>
      </w:r>
      <w:r>
        <w:rPr/>
        <w:t xml:space="preserve"> </w:t>
      </w:r>
      <w:r>
        <w:rPr>
          <w:u w:val="single"/>
        </w:rPr>
        <w:t xml:space="preserve">28.74</w:t>
      </w:r>
    </w:p>
    <w:p>
      <w:pPr>
        <w:ind w:left="0" w:right="0" w:firstLine="360"/>
        <w:jc w:val="both"/>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ind w:left="0" w:right="0" w:firstLine="0"/>
        <w:jc w:val="right"/>
      </w:pPr>
      <w:r>
        <w:rPr/>
        <w:t xml:space="preserve">Laboratory science</w:t>
      </w:r>
    </w:p>
    <w:p>
      <w:pPr>
        <w:ind w:left="0" w:right="0" w:firstLine="0"/>
        <w:jc w:val="right"/>
      </w:pPr>
      <w:r>
        <w:rPr/>
        <w:t xml:space="preserve">average class size</w:t>
      </w:r>
    </w:p>
    <w:p>
      <w:pPr>
        <w:ind w:left="0" w:right="0" w:firstLine="0"/>
        <w:jc w:val="both"/>
        <w:tabs>
          <w:tab w:val="right" w:leader="dot" w:pos="9936"/>
        </w:tabs>
      </w:pPr>
      <w:r>
        <w:rPr/>
        <w:t xml:space="preserve">Grades 9-12</w:t>
      </w:r>
      <w:r>
        <w:tab/>
      </w:r>
      <w:r>
        <w:rPr/>
        <w:t xml:space="preserve">19.98</w:t>
      </w:r>
    </w:p>
    <w:p>
      <w:pPr>
        <w:ind w:left="0" w:right="0" w:firstLine="360"/>
        <w:jc w:val="both"/>
      </w:pPr>
      <w:r>
        <w:rPr/>
        <w:t xml:space="preserve">(b) </w:t>
      </w:r>
      <w:r>
        <w:t>((</w:t>
      </w:r>
      <w:r>
        <w:rPr>
          <w:strike/>
        </w:rPr>
        <w:t xml:space="preserve">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ind w:left="0" w:right="0" w:firstLine="360"/>
        <w:jc w:val="both"/>
      </w:pPr>
      <w:r>
        <w:rPr>
          <w:strike/>
        </w:rPr>
        <w:t xml:space="preserve">(c)</w:t>
      </w:r>
      <w:r>
        <w:t>))</w:t>
      </w:r>
      <w:r>
        <w:rPr/>
        <w:t xml:space="preserve"> The minimum allocation for each prototypical middle and high school shall also provide for full-time equivalent classroom teachers based on the following number of full-time equivalent students per teacher in career and technical education:</w:t>
      </w:r>
    </w:p>
    <w:p>
      <w:pPr>
        <w:ind w:left="0" w:right="0" w:firstLine="360"/>
        <w:jc w:val="right"/>
      </w:pPr>
      <w:r>
        <w:rPr/>
        <w:t xml:space="preserve">Career and technical</w:t>
      </w:r>
    </w:p>
    <w:p>
      <w:pPr>
        <w:ind w:left="0" w:right="0" w:firstLine="360"/>
        <w:jc w:val="right"/>
      </w:pPr>
      <w:r>
        <w:rPr/>
        <w:t xml:space="preserve">education average</w:t>
      </w:r>
    </w:p>
    <w:p>
      <w:pPr>
        <w:ind w:left="0" w:right="0" w:firstLine="360"/>
        <w:jc w:val="right"/>
      </w:pPr>
      <w:r>
        <w:rPr/>
        <w:t xml:space="preserve">class size</w:t>
      </w:r>
    </w:p>
    <w:p>
      <w:pPr>
        <w:ind w:left="0" w:right="0" w:firstLine="0"/>
        <w:jc w:val="both"/>
      </w:pPr>
      <w:r>
        <w:rPr/>
        <w:t xml:space="preserve">Approved career and technical education offered at</w:t>
      </w:r>
    </w:p>
    <w:p>
      <w:pPr>
        <w:ind w:left="0" w:right="0" w:firstLine="0"/>
        <w:jc w:val="both"/>
        <w:tabs>
          <w:tab w:val="right" w:leader="dot" w:pos="9936"/>
        </w:tabs>
      </w:pPr>
      <w:r>
        <w:rPr/>
        <w:t xml:space="preserve">the middle school and high school level</w:t>
      </w:r>
      <w:r>
        <w:tab/>
      </w:r>
      <w:r>
        <w:rPr/>
        <w:t xml:space="preserve"> </w:t>
      </w:r>
      <w:r>
        <w:t>((</w:t>
      </w:r>
      <w:r>
        <w:rPr>
          <w:strike/>
        </w:rPr>
        <w:t xml:space="preserve">19.0</w:t>
      </w:r>
      <w:r>
        <w:t>))</w:t>
      </w:r>
      <w:r>
        <w:rPr/>
        <w:t xml:space="preserve"> </w:t>
      </w:r>
      <w:r>
        <w:rPr>
          <w:u w:val="single"/>
        </w:rPr>
        <w:t xml:space="preserve">26.57</w:t>
      </w:r>
    </w:p>
    <w:p>
      <w:pPr>
        <w:ind w:left="0" w:right="0" w:firstLine="0"/>
        <w:jc w:val="both"/>
      </w:pPr>
      <w:r>
        <w:rPr/>
        <w:t xml:space="preserve">Skill center programs meeting the standards established</w:t>
      </w:r>
    </w:p>
    <w:p>
      <w:pPr>
        <w:ind w:left="0" w:right="0" w:firstLine="0"/>
        <w:jc w:val="both"/>
      </w:pPr>
      <w:r>
        <w:rPr/>
        <w:t xml:space="preserve">by the office of the superintendent of public</w:t>
      </w:r>
    </w:p>
    <w:p>
      <w:pPr>
        <w:ind w:left="0" w:right="0" w:firstLine="0"/>
        <w:jc w:val="both"/>
        <w:tabs>
          <w:tab w:val="right" w:leader="dot" w:pos="9936"/>
        </w:tabs>
      </w:pPr>
      <w:r>
        <w:rPr/>
        <w:t xml:space="preserve">instruction</w:t>
      </w:r>
      <w:r>
        <w:tab/>
      </w:r>
      <w:r>
        <w:rPr/>
        <w:t xml:space="preserve"> </w:t>
      </w:r>
      <w:r>
        <w:t>((</w:t>
      </w:r>
      <w:r>
        <w:rPr>
          <w:strike/>
        </w:rPr>
        <w:t xml:space="preserve">16.0</w:t>
      </w:r>
      <w:r>
        <w:t>))</w:t>
      </w:r>
      <w:r>
        <w:rPr/>
        <w:t xml:space="preserve"> </w:t>
      </w:r>
      <w:r>
        <w:rPr>
          <w:u w:val="single"/>
        </w:rPr>
        <w:t xml:space="preserve">22.76</w:t>
      </w:r>
    </w:p>
    <w:p>
      <w:pPr>
        <w:ind w:left="0" w:right="0" w:firstLine="360"/>
        <w:jc w:val="both"/>
      </w:pPr>
      <w:r>
        <w:t>((</w:t>
      </w:r>
      <w:r>
        <w:rPr>
          <w:strike/>
        </w:rPr>
        <w:t xml:space="preserve">(d)</w:t>
      </w:r>
      <w:r>
        <w:t>))</w:t>
      </w:r>
      <w:r>
        <w:rPr/>
        <w:t xml:space="preserve"> </w:t>
      </w:r>
      <w:r>
        <w:rPr>
          <w:u w:val="single"/>
        </w:rPr>
        <w:t xml:space="preserve">(c)</w:t>
      </w:r>
      <w:r>
        <w:rPr/>
        <w:t xml:space="preserve"> In addition, the omnibus appropriations act shall at a minimum specify a specialty average class size for advanced placement and international baccalaureate courses.</w:t>
      </w:r>
    </w:p>
    <w:p>
      <w:pPr>
        <w:ind w:left="0" w:right="0" w:firstLine="360"/>
        <w:jc w:val="both"/>
      </w:pPr>
      <w:r>
        <w:t>((</w:t>
      </w:r>
      <w:r>
        <w:rPr>
          <w:strike/>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right"/>
      </w:pPr>
      <w:r>
        <w:rPr>
          <w:strike/>
        </w:rPr>
        <w:t xml:space="preserve">General education average</w:t>
      </w:r>
    </w:p>
    <w:p>
      <w:pPr>
        <w:ind w:left="0" w:right="0" w:firstLine="360"/>
        <w:jc w:val="right"/>
      </w:pPr>
      <w:r>
        <w:rPr>
          <w:strike/>
        </w:rPr>
        <w:t xml:space="preserve">class size in</w:t>
      </w:r>
    </w:p>
    <w:p>
      <w:pPr>
        <w:ind w:left="0" w:right="0" w:firstLine="360"/>
        <w:jc w:val="right"/>
      </w:pPr>
      <w:r>
        <w:rPr>
          <w:strike/>
        </w:rPr>
        <w:t xml:space="preserve">high poverty</w:t>
      </w:r>
    </w:p>
    <w:p>
      <w:pPr>
        <w:ind w:left="0" w:right="0" w:firstLine="0"/>
        <w:jc w:val="both"/>
        <w:tabs>
          <w:tab w:val="right" w:leader="dot" w:pos="9936"/>
        </w:tabs>
      </w:pPr>
      <w:r>
        <w:rPr>
          <w:strike/>
        </w:rPr>
        <w:t xml:space="preserve">Grades K-3</w:t>
      </w:r>
      <w:r>
        <w:tab/>
      </w:r>
      <w:r>
        <w:rPr>
          <w:strike/>
        </w:rPr>
        <w:t xml:space="preserve">15.0</w:t>
      </w:r>
    </w:p>
    <w:p>
      <w:pPr>
        <w:ind w:left="0" w:right="0" w:firstLine="0"/>
        <w:jc w:val="both"/>
        <w:tabs>
          <w:tab w:val="right" w:leader="dot" w:pos="9936"/>
        </w:tabs>
      </w:pPr>
      <w:r>
        <w:rPr>
          <w:strike/>
        </w:rPr>
        <w:t xml:space="preserve">Grade 4</w:t>
      </w:r>
      <w:r>
        <w:tab/>
      </w:r>
      <w:r>
        <w:rPr>
          <w:strike/>
        </w:rPr>
        <w:t xml:space="preserve">22.0</w:t>
      </w:r>
    </w:p>
    <w:p>
      <w:pPr>
        <w:ind w:left="0" w:right="0" w:firstLine="0"/>
        <w:jc w:val="both"/>
        <w:tabs>
          <w:tab w:val="right" w:leader="dot" w:pos="9936"/>
        </w:tabs>
      </w:pPr>
      <w:r>
        <w:rPr>
          <w:strike/>
        </w:rPr>
        <w:t xml:space="preserve">Grades 5-6</w:t>
      </w:r>
      <w:r>
        <w:tab/>
      </w:r>
      <w:r>
        <w:rPr>
          <w:strike/>
        </w:rPr>
        <w:t xml:space="preserve">23.0</w:t>
      </w:r>
    </w:p>
    <w:p>
      <w:pPr>
        <w:ind w:left="0" w:right="0" w:firstLine="0"/>
        <w:jc w:val="both"/>
        <w:tabs>
          <w:tab w:val="right" w:leader="dot" w:pos="9936"/>
        </w:tabs>
      </w:pPr>
      <w:r>
        <w:rPr>
          <w:strike/>
        </w:rPr>
        <w:t xml:space="preserve">Grades 7-8</w:t>
      </w:r>
      <w:r>
        <w:tab/>
      </w:r>
      <w:r>
        <w:rPr>
          <w:strike/>
        </w:rPr>
        <w:t xml:space="preserve">23.0</w:t>
      </w:r>
    </w:p>
    <w:p>
      <w:pPr>
        <w:ind w:left="0" w:right="0" w:firstLine="0"/>
        <w:jc w:val="both"/>
        <w:tabs>
          <w:tab w:val="right" w:leader="dot" w:pos="9936"/>
        </w:tabs>
      </w:pPr>
      <w:r>
        <w:rPr>
          <w:strike/>
        </w:rPr>
        <w:t xml:space="preserve">Grades 9-12</w:t>
      </w:r>
      <w:r>
        <w:tab/>
      </w:r>
      <w:r>
        <w:rPr>
          <w:strike/>
        </w:rPr>
        <w:t xml:space="preserve">23.0</w:t>
      </w:r>
    </w:p>
    <w:p>
      <w:pPr>
        <w:ind w:left="0" w:right="0" w:firstLine="360"/>
        <w:jc w:val="both"/>
      </w:pPr>
      <w:r>
        <w:rPr>
          <w:strike/>
        </w:rPr>
        <w:t xml:space="preserve">(f)(i) Funding for average class sizes in this subsection (4) shall be provided only to the extent of, and proportionate to, the school district's demonstrated actual average class size, up to the funded class sizes.</w:t>
      </w:r>
    </w:p>
    <w:p>
      <w:pPr>
        <w:ind w:left="0" w:right="0" w:firstLine="360"/>
        <w:jc w:val="both"/>
      </w:pPr>
      <w:r>
        <w:rPr>
          <w:strike/>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ind w:left="0" w:right="0" w:firstLine="360"/>
        <w:jc w:val="both"/>
      </w:pPr>
      <w:r>
        <w:rPr>
          <w:strike/>
        </w:rPr>
        <w:t xml:space="preserve">(iii) The office of the superintendent of public instruction shall develop rules to implement this subsection (4).</w:t>
      </w:r>
      <w:r>
        <w:t>))</w:t>
      </w:r>
    </w:p>
    <w:p>
      <w:pPr>
        <w:ind w:left="0" w:right="0" w:firstLine="360"/>
        <w:jc w:val="both"/>
      </w:pPr>
      <w:r>
        <w:rPr/>
        <w:t xml:space="preserve">(5) The minimum allocation for each level of prototypical school shall include allocations </w:t>
      </w:r>
      <w:r>
        <w:t>((</w:t>
      </w:r>
      <w:r>
        <w:rPr>
          <w:strike/>
        </w:rPr>
        <w:t xml:space="preserve">necessary for the safe and effective operation of a school, to meet individual student needs, and to ensure all required school functions can be performed by appropriately trained personnel,</w:t>
      </w:r>
      <w:r>
        <w:t>))</w:t>
      </w:r>
      <w:r>
        <w:rPr/>
        <w:t xml:space="preserve">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5720"/>
        <w:gridCol w:w="1520"/>
        <w:gridCol w:w="1460"/>
        <w:gridCol w:w="1460"/>
      </w:tblGrid>
      <w:tr>
        <w:tc>
          <w:tcPr>
            <w:tcW w:w="5720" w:type="dxa"/>
            <w:vAlign w:val="top"/>
          </w:tcPr>
          <w:p>
            <w:pPr>
              <w:ind w:left="0" w:right="0" w:firstLine="0"/>
              <w:jc w:val="both"/>
            </w:pPr>
          </w:p>
        </w:tc>
        <w:tc>
          <w:tcPr>
            <w:tcW w:w="1520" w:type="dxa"/>
            <w:vAlign w:val="top"/>
          </w:tcPr>
          <w:p>
            <w:pPr>
              <w:ind w:left="0" w:right="0" w:firstLine="0"/>
              <w:jc w:val="both"/>
            </w:pPr>
            <w:r>
              <w:rPr>
                <w:rFonts w:ascii="Times New Roman" w:hAnsi="Times New Roman"/>
                <w:sz w:val="20"/>
              </w:rPr>
              <w:t xml:space="preserve">Elementary School</w:t>
            </w:r>
          </w:p>
        </w:tc>
        <w:tc>
          <w:tcPr>
            <w:tcW w:w="1460" w:type="dxa"/>
            <w:vAlign w:val="top"/>
          </w:tcPr>
          <w:p>
            <w:pPr>
              <w:ind w:left="0" w:right="0" w:firstLine="0"/>
              <w:jc w:val="both"/>
            </w:pPr>
            <w:r>
              <w:rPr>
                <w:rFonts w:ascii="Times New Roman" w:hAnsi="Times New Roman"/>
                <w:sz w:val="20"/>
              </w:rPr>
              <w:t xml:space="preserve">Middle School</w:t>
            </w:r>
          </w:p>
        </w:tc>
        <w:tc>
          <w:tcPr>
            <w:tcW w:w="1460" w:type="dxa"/>
            <w:vAlign w:val="top"/>
          </w:tcPr>
          <w:p>
            <w:pPr>
              <w:ind w:left="0" w:right="0" w:firstLine="0"/>
              <w:jc w:val="both"/>
            </w:pPr>
            <w:r>
              <w:rPr>
                <w:rFonts w:ascii="Times New Roman" w:hAnsi="Times New Roman"/>
                <w:sz w:val="20"/>
              </w:rPr>
              <w:t xml:space="preserve">High School</w:t>
            </w:r>
          </w:p>
        </w:tc>
      </w:tr>
      <w:tr>
        <w:tc>
          <w:tcPr>
            <w:tcW w:w="5720" w:type="dxa"/>
            <w:vAlign w:val="top"/>
          </w:tcPr>
          <w:p>
            <w:pPr>
              <w:tabs>
                <w:tab w:val="right" w:leader="dot" w:pos="5708"/>
              </w:tabs>
              <w:ind w:left="0" w:right="0" w:firstLine="0"/>
              <w:jc w:val="both"/>
            </w:pPr>
            <w:r>
              <w:rPr>
                <w:rFonts w:ascii="Times New Roman" w:hAnsi="Times New Roman"/>
                <w:sz w:val="20"/>
              </w:rPr>
              <w:t xml:space="preserve">Principals, assistant principals, and other certificated building-level administrators</w:t>
            </w:r>
            <w:r>
              <w:tab/>
            </w:r>
          </w:p>
        </w:tc>
        <w:tc>
          <w:tcPr>
            <w:tcW w:w="1520" w:type="dxa"/>
            <w:vAlign w:val="top"/>
          </w:tcPr>
          <w:p>
            <w:pPr>
              <w:ind w:left="0" w:right="0" w:firstLine="0"/>
              <w:jc w:val="both"/>
            </w:pPr>
          </w:p>
          <w:p>
            <w:pPr>
              <w:ind w:left="0" w:right="0" w:firstLine="0"/>
              <w:jc w:val="both"/>
            </w:pPr>
            <w:r>
              <w:t>((</w:t>
            </w:r>
            <w:r>
              <w:rPr>
                <w:rFonts w:ascii="Times New Roman" w:hAnsi="Times New Roman"/>
                <w:strike/>
                <w:sz w:val="20"/>
              </w:rPr>
              <w:t xml:space="preserve">1.3</w:t>
            </w:r>
            <w:r>
              <w:t>))</w:t>
            </w:r>
            <w:r>
              <w:rPr>
                <w:rFonts w:ascii="Times New Roman" w:hAnsi="Times New Roman"/>
                <w:sz w:val="20"/>
              </w:rPr>
              <w:t xml:space="preserve"> </w:t>
            </w:r>
            <w:r>
              <w:rPr>
                <w:rFonts w:ascii="Times New Roman" w:hAnsi="Times New Roman"/>
                <w:sz w:val="20"/>
                <w:u w:val="single"/>
              </w:rPr>
              <w:t xml:space="preserve">1.253</w:t>
            </w:r>
          </w:p>
        </w:tc>
        <w:tc>
          <w:tcPr>
            <w:tcW w:w="1460" w:type="dxa"/>
            <w:vAlign w:val="top"/>
          </w:tcPr>
          <w:p>
            <w:pPr>
              <w:ind w:left="0" w:right="0" w:firstLine="0"/>
              <w:jc w:val="both"/>
            </w:pPr>
          </w:p>
          <w:p>
            <w:pPr>
              <w:ind w:left="0" w:right="0" w:firstLine="0"/>
              <w:jc w:val="both"/>
            </w:pPr>
            <w:r>
              <w:t>((</w:t>
            </w:r>
            <w:r>
              <w:rPr>
                <w:rFonts w:ascii="Times New Roman" w:hAnsi="Times New Roman"/>
                <w:strike/>
                <w:sz w:val="20"/>
              </w:rPr>
              <w:t xml:space="preserve">1.4</w:t>
            </w:r>
            <w:r>
              <w:t>))</w:t>
            </w:r>
            <w:r>
              <w:rPr>
                <w:rFonts w:ascii="Times New Roman" w:hAnsi="Times New Roman"/>
                <w:sz w:val="20"/>
              </w:rPr>
              <w:t xml:space="preserve"> </w:t>
            </w:r>
            <w:r>
              <w:rPr>
                <w:rFonts w:ascii="Times New Roman" w:hAnsi="Times New Roman"/>
                <w:sz w:val="20"/>
                <w:u w:val="single"/>
              </w:rPr>
              <w:t xml:space="preserve">1.353</w:t>
            </w:r>
          </w:p>
        </w:tc>
        <w:tc>
          <w:tcPr>
            <w:tcW w:w="1460" w:type="dxa"/>
            <w:vAlign w:val="top"/>
          </w:tcPr>
          <w:p>
            <w:pPr>
              <w:ind w:left="0" w:right="0" w:firstLine="0"/>
              <w:jc w:val="both"/>
            </w:pPr>
          </w:p>
          <w:p>
            <w:pPr>
              <w:ind w:left="0" w:right="0" w:firstLine="0"/>
              <w:jc w:val="both"/>
            </w:pPr>
            <w:r>
              <w:t>((</w:t>
            </w:r>
            <w:r>
              <w:rPr>
                <w:rFonts w:ascii="Times New Roman" w:hAnsi="Times New Roman"/>
                <w:strike/>
                <w:sz w:val="20"/>
              </w:rPr>
              <w:t xml:space="preserve">1.9</w:t>
            </w:r>
            <w:r>
              <w:t>))</w:t>
            </w:r>
            <w:r>
              <w:rPr>
                <w:rFonts w:ascii="Times New Roman" w:hAnsi="Times New Roman"/>
                <w:sz w:val="20"/>
              </w:rPr>
              <w:t xml:space="preserve"> </w:t>
            </w:r>
            <w:r>
              <w:rPr>
                <w:rFonts w:ascii="Times New Roman" w:hAnsi="Times New Roman"/>
                <w:sz w:val="20"/>
                <w:u w:val="single"/>
              </w:rPr>
              <w:t xml:space="preserve">1.880</w:t>
            </w:r>
          </w:p>
        </w:tc>
      </w:tr>
      <w:tr>
        <w:tc>
          <w:tcPr>
            <w:tcW w:w="5720" w:type="dxa"/>
            <w:vAlign w:val="top"/>
          </w:tcPr>
          <w:p>
            <w:pPr>
              <w:tabs>
                <w:tab w:val="right" w:leader="dot" w:pos="5708"/>
              </w:tabs>
              <w:ind w:left="0" w:right="0" w:firstLine="0"/>
              <w:jc w:val="both"/>
            </w:pPr>
            <w:r>
              <w:rPr>
                <w:rFonts w:ascii="Times New Roman" w:hAnsi="Times New Roman"/>
                <w:sz w:val="20"/>
              </w:rPr>
              <w:t xml:space="preserve">Teacher librarians, a function that includes information literacy, technology, and media to support school library media programs</w:t>
            </w:r>
            <w:r>
              <w:tab/>
            </w:r>
          </w:p>
        </w:tc>
        <w:tc>
          <w:tcPr>
            <w:tcW w:w="152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0.663</w:t>
            </w:r>
          </w:p>
        </w:tc>
        <w:tc>
          <w:tcPr>
            <w:tcW w:w="14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0.519</w:t>
            </w:r>
          </w:p>
        </w:tc>
        <w:tc>
          <w:tcPr>
            <w:tcW w:w="14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0.523</w:t>
            </w:r>
          </w:p>
        </w:tc>
      </w:tr>
      <w:tr>
        <w:tc>
          <w:tcPr>
            <w:tcW w:w="5720" w:type="dxa"/>
            <w:vAlign w:val="top"/>
          </w:tcPr>
          <w:p>
            <w:pPr>
              <w:ind w:left="0" w:right="0" w:firstLine="0"/>
              <w:jc w:val="both"/>
            </w:pPr>
            <w:r>
              <w:rPr>
                <w:rFonts w:ascii="Times New Roman" w:hAnsi="Times New Roman"/>
                <w:sz w:val="20"/>
              </w:rPr>
              <w:t xml:space="preserve">Health and social services:</w:t>
            </w:r>
          </w:p>
        </w:tc>
        <w:tc>
          <w:tcPr>
            <w:tcW w:w="1520" w:type="dxa"/>
            <w:vAlign w:val="top"/>
          </w:tcPr>
          <w:p>
            <w:pPr>
              <w:ind w:left="0" w:right="0" w:firstLine="0"/>
              <w:jc w:val="both"/>
            </w:pPr>
          </w:p>
        </w:tc>
        <w:tc>
          <w:tcPr>
            <w:tcW w:w="1460" w:type="dxa"/>
            <w:vAlign w:val="top"/>
          </w:tcPr>
          <w:p>
            <w:pPr>
              <w:ind w:left="0" w:right="0" w:firstLine="0"/>
              <w:jc w:val="both"/>
            </w:pPr>
          </w:p>
        </w:tc>
        <w:tc>
          <w:tcPr>
            <w:tcW w:w="1460" w:type="dxa"/>
            <w:vAlign w:val="top"/>
          </w:tcPr>
          <w:p>
            <w:pPr>
              <w:ind w:left="0" w:right="0" w:firstLine="0"/>
              <w:jc w:val="both"/>
            </w:pPr>
          </w:p>
        </w:tc>
      </w:tr>
      <w:tr>
        <w:tc>
          <w:tcPr>
            <w:tcW w:w="5720" w:type="dxa"/>
            <w:vAlign w:val="top"/>
          </w:tcPr>
          <w:p>
            <w:pPr>
              <w:tabs>
                <w:tab w:val="right" w:leader="dot" w:pos="5708"/>
              </w:tabs>
              <w:ind w:left="0" w:right="0" w:firstLine="0"/>
              <w:jc w:val="both"/>
            </w:pPr>
            <w:r>
              <w:rPr>
                <w:rFonts w:ascii="Times New Roman" w:hAnsi="Times New Roman"/>
                <w:sz w:val="20"/>
              </w:rPr>
              <w:t xml:space="preserve">School nurses</w:t>
            </w:r>
            <w:r>
              <w:tab/>
            </w:r>
          </w:p>
        </w:tc>
        <w:tc>
          <w:tcPr>
            <w:tcW w:w="1520" w:type="dxa"/>
            <w:vAlign w:val="top"/>
          </w:tcPr>
          <w:p>
            <w:pPr>
              <w:ind w:left="0" w:right="0" w:firstLine="0"/>
              <w:jc w:val="both"/>
            </w:pPr>
            <w:r>
              <w:t>((</w:t>
            </w:r>
            <w:r>
              <w:rPr>
                <w:rFonts w:ascii="Times New Roman" w:hAnsi="Times New Roman"/>
                <w:strike/>
                <w:sz w:val="20"/>
              </w:rPr>
              <w:t xml:space="preserve">0.585</w:t>
            </w:r>
            <w:r>
              <w:t>))</w:t>
            </w:r>
            <w:r>
              <w:rPr>
                <w:rFonts w:ascii="Times New Roman" w:hAnsi="Times New Roman"/>
                <w:sz w:val="20"/>
              </w:rPr>
              <w:t xml:space="preserve"> </w:t>
            </w:r>
            <w:r>
              <w:rPr>
                <w:rFonts w:ascii="Times New Roman" w:hAnsi="Times New Roman"/>
                <w:sz w:val="20"/>
                <w:u w:val="single"/>
              </w:rPr>
              <w:t xml:space="preserve">0.076</w:t>
            </w:r>
          </w:p>
        </w:tc>
        <w:tc>
          <w:tcPr>
            <w:tcW w:w="1460" w:type="dxa"/>
            <w:vAlign w:val="top"/>
          </w:tcPr>
          <w:p>
            <w:pPr>
              <w:ind w:left="0" w:right="0" w:firstLine="0"/>
              <w:jc w:val="both"/>
            </w:pPr>
            <w:r>
              <w:t>((</w:t>
            </w:r>
            <w:r>
              <w:rPr>
                <w:rFonts w:ascii="Times New Roman" w:hAnsi="Times New Roman"/>
                <w:strike/>
                <w:sz w:val="20"/>
              </w:rPr>
              <w:t xml:space="preserve">0.888</w:t>
            </w:r>
            <w:r>
              <w:t>))</w:t>
            </w:r>
            <w:r>
              <w:rPr>
                <w:rFonts w:ascii="Times New Roman" w:hAnsi="Times New Roman"/>
                <w:sz w:val="20"/>
              </w:rPr>
              <w:t xml:space="preserve"> </w:t>
            </w:r>
            <w:r>
              <w:rPr>
                <w:rFonts w:ascii="Times New Roman" w:hAnsi="Times New Roman"/>
                <w:sz w:val="20"/>
                <w:u w:val="single"/>
              </w:rPr>
              <w:t xml:space="preserve">0.060</w:t>
            </w:r>
          </w:p>
        </w:tc>
        <w:tc>
          <w:tcPr>
            <w:tcW w:w="1460" w:type="dxa"/>
            <w:vAlign w:val="top"/>
          </w:tcPr>
          <w:p>
            <w:pPr>
              <w:ind w:left="0" w:right="0" w:firstLine="0"/>
              <w:jc w:val="both"/>
            </w:pPr>
            <w:r>
              <w:t>((</w:t>
            </w:r>
            <w:r>
              <w:rPr>
                <w:rFonts w:ascii="Times New Roman" w:hAnsi="Times New Roman"/>
                <w:strike/>
                <w:sz w:val="20"/>
              </w:rPr>
              <w:t xml:space="preserve">0.824</w:t>
            </w:r>
            <w:r>
              <w:t>))</w:t>
            </w:r>
            <w:r>
              <w:rPr>
                <w:rFonts w:ascii="Times New Roman" w:hAnsi="Times New Roman"/>
                <w:sz w:val="20"/>
              </w:rPr>
              <w:t xml:space="preserve"> </w:t>
            </w:r>
            <w:r>
              <w:rPr>
                <w:rFonts w:ascii="Times New Roman" w:hAnsi="Times New Roman"/>
                <w:sz w:val="20"/>
                <w:u w:val="single"/>
              </w:rPr>
              <w:t xml:space="preserve">0.096</w:t>
            </w:r>
          </w:p>
        </w:tc>
      </w:tr>
      <w:tr>
        <w:tc>
          <w:tcPr>
            <w:tcW w:w="5720" w:type="dxa"/>
            <w:vAlign w:val="top"/>
          </w:tcPr>
          <w:p>
            <w:pPr>
              <w:tabs>
                <w:tab w:val="right" w:leader="dot" w:pos="5708"/>
              </w:tabs>
              <w:ind w:left="0" w:right="0" w:firstLine="0"/>
              <w:jc w:val="both"/>
            </w:pPr>
            <w:r>
              <w:rPr>
                <w:rFonts w:ascii="Times New Roman" w:hAnsi="Times New Roman"/>
                <w:sz w:val="20"/>
              </w:rPr>
              <w:t xml:space="preserve">Social workers</w:t>
            </w:r>
            <w:r>
              <w:tab/>
            </w:r>
          </w:p>
        </w:tc>
        <w:tc>
          <w:tcPr>
            <w:tcW w:w="1520" w:type="dxa"/>
            <w:vAlign w:val="top"/>
          </w:tcPr>
          <w:p>
            <w:pPr>
              <w:ind w:left="0" w:right="0" w:firstLine="0"/>
              <w:jc w:val="both"/>
            </w:pPr>
            <w:r>
              <w:t>((</w:t>
            </w:r>
            <w:r>
              <w:rPr>
                <w:rFonts w:ascii="Times New Roman" w:hAnsi="Times New Roman"/>
                <w:strike/>
                <w:sz w:val="20"/>
              </w:rPr>
              <w:t xml:space="preserve">0.311</w:t>
            </w:r>
            <w:r>
              <w:t>))</w:t>
            </w:r>
            <w:r>
              <w:rPr>
                <w:rFonts w:ascii="Times New Roman" w:hAnsi="Times New Roman"/>
                <w:sz w:val="20"/>
              </w:rPr>
              <w:t xml:space="preserve"> </w:t>
            </w:r>
            <w:r>
              <w:rPr>
                <w:rFonts w:ascii="Times New Roman" w:hAnsi="Times New Roman"/>
                <w:sz w:val="20"/>
                <w:u w:val="single"/>
              </w:rPr>
              <w:t xml:space="preserve">0.042</w:t>
            </w:r>
          </w:p>
        </w:tc>
        <w:tc>
          <w:tcPr>
            <w:tcW w:w="1460" w:type="dxa"/>
            <w:vAlign w:val="top"/>
          </w:tcPr>
          <w:p>
            <w:pPr>
              <w:ind w:left="0" w:right="0" w:firstLine="0"/>
              <w:jc w:val="both"/>
            </w:pPr>
            <w:r>
              <w:t>((</w:t>
            </w:r>
            <w:r>
              <w:rPr>
                <w:rFonts w:ascii="Times New Roman" w:hAnsi="Times New Roman"/>
                <w:strike/>
                <w:sz w:val="20"/>
              </w:rPr>
              <w:t xml:space="preserve">0.088</w:t>
            </w:r>
            <w:r>
              <w:t>))</w:t>
            </w:r>
            <w:r>
              <w:rPr>
                <w:rFonts w:ascii="Times New Roman" w:hAnsi="Times New Roman"/>
                <w:sz w:val="20"/>
              </w:rPr>
              <w:t xml:space="preserve"> </w:t>
            </w:r>
            <w:r>
              <w:rPr>
                <w:rFonts w:ascii="Times New Roman" w:hAnsi="Times New Roman"/>
                <w:sz w:val="20"/>
                <w:u w:val="single"/>
              </w:rPr>
              <w:t xml:space="preserve">0.006</w:t>
            </w:r>
          </w:p>
        </w:tc>
        <w:tc>
          <w:tcPr>
            <w:tcW w:w="1460" w:type="dxa"/>
            <w:vAlign w:val="top"/>
          </w:tcPr>
          <w:p>
            <w:pPr>
              <w:ind w:left="0" w:right="0" w:firstLine="0"/>
              <w:jc w:val="both"/>
            </w:pPr>
            <w:r>
              <w:t>((</w:t>
            </w:r>
            <w:r>
              <w:rPr>
                <w:rFonts w:ascii="Times New Roman" w:hAnsi="Times New Roman"/>
                <w:strike/>
                <w:sz w:val="20"/>
              </w:rPr>
              <w:t xml:space="preserve">0.127</w:t>
            </w:r>
            <w:r>
              <w:t>))</w:t>
            </w:r>
            <w:r>
              <w:rPr>
                <w:rFonts w:ascii="Times New Roman" w:hAnsi="Times New Roman"/>
                <w:sz w:val="20"/>
              </w:rPr>
              <w:t xml:space="preserve"> </w:t>
            </w:r>
            <w:r>
              <w:rPr>
                <w:rFonts w:ascii="Times New Roman" w:hAnsi="Times New Roman"/>
                <w:sz w:val="20"/>
                <w:u w:val="single"/>
              </w:rPr>
              <w:t xml:space="preserve">0.015</w:t>
            </w:r>
          </w:p>
        </w:tc>
      </w:tr>
      <w:tr>
        <w:tc>
          <w:tcPr>
            <w:tcW w:w="5720" w:type="dxa"/>
            <w:vAlign w:val="top"/>
          </w:tcPr>
          <w:p>
            <w:pPr>
              <w:tabs>
                <w:tab w:val="right" w:leader="dot" w:pos="5708"/>
              </w:tabs>
              <w:ind w:left="0" w:right="0" w:firstLine="0"/>
              <w:jc w:val="both"/>
            </w:pPr>
            <w:r>
              <w:rPr>
                <w:rFonts w:ascii="Times New Roman" w:hAnsi="Times New Roman"/>
                <w:sz w:val="20"/>
              </w:rPr>
              <w:t xml:space="preserve">Psychologists</w:t>
            </w:r>
            <w:r>
              <w:tab/>
            </w:r>
          </w:p>
        </w:tc>
        <w:tc>
          <w:tcPr>
            <w:tcW w:w="1520" w:type="dxa"/>
            <w:vAlign w:val="top"/>
          </w:tcPr>
          <w:p>
            <w:pPr>
              <w:ind w:left="0" w:right="0" w:firstLine="0"/>
              <w:jc w:val="both"/>
            </w:pPr>
            <w:r>
              <w:t>((</w:t>
            </w:r>
            <w:r>
              <w:rPr>
                <w:rFonts w:ascii="Times New Roman" w:hAnsi="Times New Roman"/>
                <w:strike/>
                <w:sz w:val="20"/>
              </w:rPr>
              <w:t xml:space="preserve">0.104</w:t>
            </w:r>
            <w:r>
              <w:t>))</w:t>
            </w:r>
            <w:r>
              <w:rPr>
                <w:rFonts w:ascii="Times New Roman" w:hAnsi="Times New Roman"/>
                <w:sz w:val="20"/>
              </w:rPr>
              <w:t xml:space="preserve"> </w:t>
            </w:r>
            <w:r>
              <w:rPr>
                <w:rFonts w:ascii="Times New Roman" w:hAnsi="Times New Roman"/>
                <w:sz w:val="20"/>
                <w:u w:val="single"/>
              </w:rPr>
              <w:t xml:space="preserve">0.017</w:t>
            </w:r>
          </w:p>
        </w:tc>
        <w:tc>
          <w:tcPr>
            <w:tcW w:w="1460" w:type="dxa"/>
            <w:vAlign w:val="top"/>
          </w:tcPr>
          <w:p>
            <w:pPr>
              <w:ind w:left="0" w:right="0" w:firstLine="0"/>
              <w:jc w:val="both"/>
            </w:pPr>
            <w:r>
              <w:t>((</w:t>
            </w:r>
            <w:r>
              <w:rPr>
                <w:rFonts w:ascii="Times New Roman" w:hAnsi="Times New Roman"/>
                <w:strike/>
                <w:sz w:val="20"/>
              </w:rPr>
              <w:t xml:space="preserve">0.024</w:t>
            </w:r>
            <w:r>
              <w:t>))</w:t>
            </w:r>
            <w:r>
              <w:rPr>
                <w:rFonts w:ascii="Times New Roman" w:hAnsi="Times New Roman"/>
                <w:sz w:val="20"/>
              </w:rPr>
              <w:t xml:space="preserve"> </w:t>
            </w:r>
            <w:r>
              <w:rPr>
                <w:rFonts w:ascii="Times New Roman" w:hAnsi="Times New Roman"/>
                <w:sz w:val="20"/>
                <w:u w:val="single"/>
              </w:rPr>
              <w:t xml:space="preserve">0.002</w:t>
            </w:r>
          </w:p>
        </w:tc>
        <w:tc>
          <w:tcPr>
            <w:tcW w:w="1460" w:type="dxa"/>
            <w:vAlign w:val="top"/>
          </w:tcPr>
          <w:p>
            <w:pPr>
              <w:ind w:left="0" w:right="0" w:firstLine="0"/>
              <w:jc w:val="both"/>
            </w:pPr>
            <w:r>
              <w:t>((</w:t>
            </w:r>
            <w:r>
              <w:rPr>
                <w:rFonts w:ascii="Times New Roman" w:hAnsi="Times New Roman"/>
                <w:strike/>
                <w:sz w:val="20"/>
              </w:rPr>
              <w:t xml:space="preserve">0.049</w:t>
            </w:r>
            <w:r>
              <w:t>))</w:t>
            </w:r>
            <w:r>
              <w:rPr>
                <w:rFonts w:ascii="Times New Roman" w:hAnsi="Times New Roman"/>
                <w:sz w:val="20"/>
              </w:rPr>
              <w:t xml:space="preserve"> </w:t>
            </w:r>
            <w:r>
              <w:rPr>
                <w:rFonts w:ascii="Times New Roman" w:hAnsi="Times New Roman"/>
                <w:sz w:val="20"/>
                <w:u w:val="single"/>
              </w:rPr>
              <w:t xml:space="preserve">0.007</w:t>
            </w:r>
          </w:p>
        </w:tc>
      </w:tr>
      <w:tr>
        <w:tc>
          <w:tcPr>
            <w:tcW w:w="5720" w:type="dxa"/>
            <w:vAlign w:val="top"/>
          </w:tcPr>
          <w:p>
            <w:pPr>
              <w:tabs>
                <w:tab w:val="right" w:leader="dot" w:pos="5708"/>
              </w:tabs>
              <w:ind w:left="0" w:right="0" w:firstLine="0"/>
              <w:jc w:val="both"/>
            </w:pPr>
            <w:r>
              <w:rPr>
                <w:rFonts w:ascii="Times New Roman" w:hAnsi="Times New Roman"/>
                <w:sz w:val="20"/>
              </w:rPr>
              <w:t xml:space="preserve">Guidance counselors, a function that includes parent outreach and graduation advising</w:t>
            </w:r>
            <w:r>
              <w:tab/>
            </w:r>
          </w:p>
        </w:tc>
        <w:tc>
          <w:tcPr>
            <w:tcW w:w="1520" w:type="dxa"/>
            <w:vAlign w:val="top"/>
          </w:tcPr>
          <w:p>
            <w:pPr>
              <w:ind w:left="0" w:right="0" w:firstLine="0"/>
              <w:jc w:val="both"/>
            </w:pPr>
          </w:p>
          <w:p>
            <w:pPr>
              <w:ind w:left="0" w:right="0" w:firstLine="0"/>
              <w:jc w:val="both"/>
            </w:pPr>
            <w:r>
              <w:t>((</w:t>
            </w:r>
            <w:r>
              <w:rPr>
                <w:rFonts w:ascii="Times New Roman" w:hAnsi="Times New Roman"/>
                <w:strike/>
                <w:sz w:val="20"/>
              </w:rPr>
              <w:t xml:space="preserve">0.50</w:t>
            </w:r>
            <w:r>
              <w:t>))</w:t>
            </w:r>
            <w:r>
              <w:rPr>
                <w:rFonts w:ascii="Times New Roman" w:hAnsi="Times New Roman"/>
                <w:sz w:val="20"/>
              </w:rPr>
              <w:t xml:space="preserve"> </w:t>
            </w:r>
            <w:r>
              <w:rPr>
                <w:rFonts w:ascii="Times New Roman" w:hAnsi="Times New Roman"/>
                <w:sz w:val="20"/>
                <w:u w:val="single"/>
              </w:rPr>
              <w:t xml:space="preserve">0.493</w:t>
            </w:r>
          </w:p>
        </w:tc>
        <w:tc>
          <w:tcPr>
            <w:tcW w:w="1460" w:type="dxa"/>
            <w:vAlign w:val="top"/>
          </w:tcPr>
          <w:p>
            <w:pPr>
              <w:ind w:left="0" w:right="0" w:firstLine="0"/>
              <w:jc w:val="both"/>
            </w:pPr>
          </w:p>
          <w:p>
            <w:pPr>
              <w:ind w:left="0" w:right="0" w:firstLine="0"/>
              <w:jc w:val="both"/>
            </w:pPr>
            <w:r>
              <w:t>((</w:t>
            </w:r>
            <w:r>
              <w:rPr>
                <w:rFonts w:ascii="Times New Roman" w:hAnsi="Times New Roman"/>
                <w:strike/>
                <w:sz w:val="20"/>
              </w:rPr>
              <w:t xml:space="preserve">2.0</w:t>
            </w:r>
            <w:r>
              <w:t>))</w:t>
            </w:r>
            <w:r>
              <w:rPr>
                <w:rFonts w:ascii="Times New Roman" w:hAnsi="Times New Roman"/>
                <w:sz w:val="20"/>
              </w:rPr>
              <w:t xml:space="preserve"> </w:t>
            </w:r>
            <w:r>
              <w:rPr>
                <w:rFonts w:ascii="Times New Roman" w:hAnsi="Times New Roman"/>
                <w:sz w:val="20"/>
                <w:u w:val="single"/>
              </w:rPr>
              <w:t xml:space="preserve">1.116</w:t>
            </w:r>
          </w:p>
        </w:tc>
        <w:tc>
          <w:tcPr>
            <w:tcW w:w="1460" w:type="dxa"/>
            <w:vAlign w:val="top"/>
          </w:tcPr>
          <w:p>
            <w:pPr>
              <w:ind w:left="0" w:right="0" w:firstLine="0"/>
              <w:jc w:val="both"/>
            </w:pPr>
          </w:p>
          <w:p>
            <w:pPr>
              <w:ind w:left="0" w:right="0" w:firstLine="0"/>
              <w:jc w:val="both"/>
            </w:pPr>
            <w:r>
              <w:t>((</w:t>
            </w:r>
            <w:r>
              <w:rPr>
                <w:rFonts w:ascii="Times New Roman" w:hAnsi="Times New Roman"/>
                <w:strike/>
                <w:sz w:val="20"/>
              </w:rPr>
              <w:t xml:space="preserve">2.539</w:t>
            </w:r>
            <w:r>
              <w:t>))</w:t>
            </w:r>
            <w:r>
              <w:rPr>
                <w:rFonts w:ascii="Times New Roman" w:hAnsi="Times New Roman"/>
                <w:sz w:val="20"/>
              </w:rPr>
              <w:t xml:space="preserve"> </w:t>
            </w:r>
            <w:r>
              <w:rPr>
                <w:rFonts w:ascii="Times New Roman" w:hAnsi="Times New Roman"/>
                <w:sz w:val="20"/>
                <w:u w:val="single"/>
              </w:rPr>
              <w:t xml:space="preserve">2.939</w:t>
            </w:r>
          </w:p>
        </w:tc>
      </w:tr>
      <w:tr>
        <w:tc>
          <w:tcPr>
            <w:tcW w:w="5720" w:type="dxa"/>
            <w:vAlign w:val="top"/>
          </w:tcPr>
          <w:p>
            <w:pPr>
              <w:tabs>
                <w:tab w:val="right" w:leader="dot" w:pos="5708"/>
              </w:tabs>
              <w:ind w:left="0" w:right="0" w:firstLine="0"/>
              <w:jc w:val="both"/>
            </w:pPr>
            <w:r>
              <w:rPr>
                <w:rFonts w:ascii="Times New Roman" w:hAnsi="Times New Roman"/>
                <w:sz w:val="20"/>
              </w:rPr>
              <w:t xml:space="preserve">Teaching assistance, including any aspect of educational instructional services provided by classified employees</w:t>
            </w:r>
            <w:r>
              <w:tab/>
            </w:r>
          </w:p>
        </w:tc>
        <w:tc>
          <w:tcPr>
            <w:tcW w:w="1520" w:type="dxa"/>
            <w:vAlign w:val="top"/>
          </w:tcPr>
          <w:p>
            <w:pPr>
              <w:ind w:left="0" w:right="0" w:firstLine="0"/>
              <w:jc w:val="both"/>
            </w:pPr>
          </w:p>
          <w:p>
            <w:pPr>
              <w:ind w:left="0" w:right="0" w:firstLine="0"/>
              <w:jc w:val="both"/>
            </w:pPr>
            <w:r>
              <w:t>((</w:t>
            </w:r>
            <w:r>
              <w:rPr>
                <w:rFonts w:ascii="Times New Roman" w:hAnsi="Times New Roman"/>
                <w:strike/>
                <w:sz w:val="20"/>
              </w:rPr>
              <w:t xml:space="preserve">2.0</w:t>
            </w:r>
            <w:r>
              <w:t>))</w:t>
            </w:r>
            <w:r>
              <w:rPr>
                <w:rFonts w:ascii="Times New Roman" w:hAnsi="Times New Roman"/>
                <w:sz w:val="20"/>
              </w:rPr>
              <w:t xml:space="preserve"> </w:t>
            </w:r>
            <w:r>
              <w:rPr>
                <w:rFonts w:ascii="Times New Roman" w:hAnsi="Times New Roman"/>
                <w:sz w:val="20"/>
                <w:u w:val="single"/>
              </w:rPr>
              <w:t xml:space="preserve">0.936</w:t>
            </w:r>
          </w:p>
        </w:tc>
        <w:tc>
          <w:tcPr>
            <w:tcW w:w="14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0.700</w:t>
            </w:r>
          </w:p>
        </w:tc>
        <w:tc>
          <w:tcPr>
            <w:tcW w:w="14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0.652</w:t>
            </w:r>
          </w:p>
        </w:tc>
      </w:tr>
      <w:tr>
        <w:tc>
          <w:tcPr>
            <w:tcW w:w="5720" w:type="dxa"/>
            <w:vAlign w:val="top"/>
          </w:tcPr>
          <w:p>
            <w:pPr>
              <w:tabs>
                <w:tab w:val="right" w:leader="dot" w:pos="5708"/>
              </w:tabs>
              <w:ind w:left="0" w:right="0" w:firstLine="0"/>
              <w:jc w:val="both"/>
            </w:pPr>
            <w:r>
              <w:rPr>
                <w:rFonts w:ascii="Times New Roman" w:hAnsi="Times New Roman"/>
                <w:sz w:val="20"/>
              </w:rPr>
              <w:t xml:space="preserve">Office support and other noninstructional aides</w:t>
            </w:r>
            <w:r>
              <w:tab/>
            </w:r>
          </w:p>
        </w:tc>
        <w:tc>
          <w:tcPr>
            <w:tcW w:w="1520" w:type="dxa"/>
            <w:vAlign w:val="top"/>
          </w:tcPr>
          <w:p>
            <w:pPr>
              <w:ind w:left="0" w:right="0" w:firstLine="0"/>
              <w:jc w:val="both"/>
            </w:pPr>
            <w:r>
              <w:t>((</w:t>
            </w:r>
            <w:r>
              <w:rPr>
                <w:rFonts w:ascii="Times New Roman" w:hAnsi="Times New Roman"/>
                <w:strike/>
                <w:sz w:val="20"/>
              </w:rPr>
              <w:t xml:space="preserve">3.0</w:t>
            </w:r>
            <w:r>
              <w:t>))</w:t>
            </w:r>
            <w:r>
              <w:rPr>
                <w:rFonts w:ascii="Times New Roman" w:hAnsi="Times New Roman"/>
                <w:sz w:val="20"/>
              </w:rPr>
              <w:t xml:space="preserve"> </w:t>
            </w:r>
            <w:r>
              <w:rPr>
                <w:rFonts w:ascii="Times New Roman" w:hAnsi="Times New Roman"/>
                <w:sz w:val="20"/>
                <w:u w:val="single"/>
              </w:rPr>
              <w:t xml:space="preserve">2.012</w:t>
            </w:r>
          </w:p>
        </w:tc>
        <w:tc>
          <w:tcPr>
            <w:tcW w:w="1460" w:type="dxa"/>
            <w:vAlign w:val="top"/>
          </w:tcPr>
          <w:p>
            <w:pPr>
              <w:ind w:left="0" w:right="0" w:firstLine="0"/>
              <w:jc w:val="both"/>
            </w:pPr>
            <w:r>
              <w:t>((</w:t>
            </w:r>
            <w:r>
              <w:rPr>
                <w:rFonts w:ascii="Times New Roman" w:hAnsi="Times New Roman"/>
                <w:strike/>
                <w:sz w:val="20"/>
              </w:rPr>
              <w:t xml:space="preserve">3.5</w:t>
            </w:r>
            <w:r>
              <w:t>))</w:t>
            </w:r>
            <w:r>
              <w:rPr>
                <w:rFonts w:ascii="Times New Roman" w:hAnsi="Times New Roman"/>
                <w:sz w:val="20"/>
              </w:rPr>
              <w:t xml:space="preserve"> </w:t>
            </w:r>
            <w:r>
              <w:rPr>
                <w:rFonts w:ascii="Times New Roman" w:hAnsi="Times New Roman"/>
                <w:sz w:val="20"/>
                <w:u w:val="single"/>
              </w:rPr>
              <w:t xml:space="preserve">2.325</w:t>
            </w:r>
          </w:p>
        </w:tc>
        <w:tc>
          <w:tcPr>
            <w:tcW w:w="1460" w:type="dxa"/>
            <w:vAlign w:val="top"/>
          </w:tcPr>
          <w:p>
            <w:pPr>
              <w:ind w:left="0" w:right="0" w:firstLine="0"/>
              <w:jc w:val="both"/>
            </w:pPr>
            <w:r>
              <w:t>((</w:t>
            </w:r>
            <w:r>
              <w:rPr>
                <w:rFonts w:ascii="Times New Roman" w:hAnsi="Times New Roman"/>
                <w:strike/>
                <w:sz w:val="20"/>
              </w:rPr>
              <w:t xml:space="preserve">3.5</w:t>
            </w:r>
            <w:r>
              <w:t>))</w:t>
            </w:r>
            <w:r>
              <w:rPr>
                <w:rFonts w:ascii="Times New Roman" w:hAnsi="Times New Roman"/>
                <w:sz w:val="20"/>
              </w:rPr>
              <w:t xml:space="preserve"> </w:t>
            </w:r>
            <w:r>
              <w:rPr>
                <w:rFonts w:ascii="Times New Roman" w:hAnsi="Times New Roman"/>
                <w:sz w:val="20"/>
                <w:u w:val="single"/>
              </w:rPr>
              <w:t xml:space="preserve">3.269</w:t>
            </w:r>
          </w:p>
        </w:tc>
      </w:tr>
      <w:tr>
        <w:tc>
          <w:tcPr>
            <w:tcW w:w="5720" w:type="dxa"/>
            <w:vAlign w:val="top"/>
          </w:tcPr>
          <w:p>
            <w:pPr>
              <w:tabs>
                <w:tab w:val="right" w:leader="dot" w:pos="5708"/>
              </w:tabs>
              <w:ind w:left="0" w:right="0" w:firstLine="0"/>
              <w:jc w:val="both"/>
            </w:pPr>
            <w:r>
              <w:rPr>
                <w:rFonts w:ascii="Times New Roman" w:hAnsi="Times New Roman"/>
                <w:sz w:val="20"/>
              </w:rPr>
              <w:t xml:space="preserve">Custodians</w:t>
            </w:r>
            <w:r>
              <w:tab/>
            </w:r>
          </w:p>
        </w:tc>
        <w:tc>
          <w:tcPr>
            <w:tcW w:w="1520" w:type="dxa"/>
            <w:vAlign w:val="top"/>
          </w:tcPr>
          <w:p>
            <w:pPr>
              <w:ind w:left="0" w:right="0" w:firstLine="0"/>
              <w:jc w:val="both"/>
            </w:pPr>
            <w:r>
              <w:t>((</w:t>
            </w:r>
            <w:r>
              <w:rPr>
                <w:rFonts w:ascii="Times New Roman" w:hAnsi="Times New Roman"/>
                <w:strike/>
                <w:sz w:val="20"/>
              </w:rPr>
              <w:t xml:space="preserve">1.7</w:t>
            </w:r>
            <w:r>
              <w:t>))</w:t>
            </w:r>
            <w:r>
              <w:rPr>
                <w:rFonts w:ascii="Times New Roman" w:hAnsi="Times New Roman"/>
                <w:sz w:val="20"/>
              </w:rPr>
              <w:t xml:space="preserve"> </w:t>
            </w:r>
            <w:r>
              <w:rPr>
                <w:rFonts w:ascii="Times New Roman" w:hAnsi="Times New Roman"/>
                <w:sz w:val="20"/>
                <w:u w:val="single"/>
              </w:rPr>
              <w:t xml:space="preserve">1.657</w:t>
            </w:r>
          </w:p>
        </w:tc>
        <w:tc>
          <w:tcPr>
            <w:tcW w:w="1460" w:type="dxa"/>
            <w:vAlign w:val="top"/>
          </w:tcPr>
          <w:p>
            <w:pPr>
              <w:ind w:left="0" w:right="0" w:firstLine="0"/>
              <w:jc w:val="both"/>
            </w:pPr>
            <w:r>
              <w:t>((</w:t>
            </w:r>
            <w:r>
              <w:rPr>
                <w:rFonts w:ascii="Times New Roman" w:hAnsi="Times New Roman"/>
                <w:strike/>
                <w:sz w:val="20"/>
              </w:rPr>
              <w:t xml:space="preserve">2.0</w:t>
            </w:r>
            <w:r>
              <w:t>))</w:t>
            </w:r>
            <w:r>
              <w:rPr>
                <w:rFonts w:ascii="Times New Roman" w:hAnsi="Times New Roman"/>
                <w:sz w:val="20"/>
              </w:rPr>
              <w:t xml:space="preserve"> </w:t>
            </w:r>
            <w:r>
              <w:rPr>
                <w:rFonts w:ascii="Times New Roman" w:hAnsi="Times New Roman"/>
                <w:sz w:val="20"/>
                <w:u w:val="single"/>
              </w:rPr>
              <w:t xml:space="preserve">1.942</w:t>
            </w:r>
          </w:p>
        </w:tc>
        <w:tc>
          <w:tcPr>
            <w:tcW w:w="1460" w:type="dxa"/>
            <w:vAlign w:val="top"/>
          </w:tcPr>
          <w:p>
            <w:pPr>
              <w:ind w:left="0" w:right="0" w:firstLine="0"/>
              <w:jc w:val="both"/>
            </w:pPr>
            <w:r>
              <w:t>((</w:t>
            </w:r>
            <w:r>
              <w:rPr>
                <w:rFonts w:ascii="Times New Roman" w:hAnsi="Times New Roman"/>
                <w:strike/>
                <w:sz w:val="20"/>
              </w:rPr>
              <w:t xml:space="preserve">3.0</w:t>
            </w:r>
            <w:r>
              <w:t>))</w:t>
            </w:r>
            <w:r>
              <w:rPr>
                <w:rFonts w:ascii="Times New Roman" w:hAnsi="Times New Roman"/>
                <w:sz w:val="20"/>
              </w:rPr>
              <w:t xml:space="preserve"> </w:t>
            </w:r>
            <w:r>
              <w:rPr>
                <w:rFonts w:ascii="Times New Roman" w:hAnsi="Times New Roman"/>
                <w:sz w:val="20"/>
                <w:u w:val="single"/>
              </w:rPr>
              <w:t xml:space="preserve">2.965</w:t>
            </w:r>
          </w:p>
        </w:tc>
      </w:tr>
      <w:tr>
        <w:tc>
          <w:tcPr>
            <w:tcW w:w="5720" w:type="dxa"/>
            <w:vAlign w:val="top"/>
          </w:tcPr>
          <w:p>
            <w:pPr>
              <w:tabs>
                <w:tab w:val="right" w:leader="dot" w:pos="5708"/>
              </w:tabs>
              <w:ind w:left="0" w:right="0" w:firstLine="0"/>
              <w:jc w:val="both"/>
            </w:pPr>
            <w:r>
              <w:rPr>
                <w:rFonts w:ascii="Times New Roman" w:hAnsi="Times New Roman"/>
                <w:sz w:val="20"/>
              </w:rPr>
              <w:t xml:space="preserve">Classified staff providing student and staff safety</w:t>
            </w:r>
            <w:r>
              <w:tab/>
            </w:r>
          </w:p>
        </w:tc>
        <w:tc>
          <w:tcPr>
            <w:tcW w:w="1520" w:type="dxa"/>
            <w:vAlign w:val="top"/>
          </w:tcPr>
          <w:p>
            <w:pPr>
              <w:ind w:left="0" w:right="0" w:firstLine="0"/>
              <w:jc w:val="both"/>
            </w:pPr>
            <w:r>
              <w:t>((</w:t>
            </w:r>
            <w:r>
              <w:rPr>
                <w:rFonts w:ascii="Times New Roman" w:hAnsi="Times New Roman"/>
                <w:strike/>
                <w:sz w:val="20"/>
              </w:rPr>
              <w:t xml:space="preserve">0.0</w:t>
            </w:r>
            <w:r>
              <w:t>))</w:t>
            </w:r>
            <w:r>
              <w:rPr>
                <w:rFonts w:ascii="Times New Roman" w:hAnsi="Times New Roman"/>
                <w:sz w:val="20"/>
              </w:rPr>
              <w:t xml:space="preserve"> </w:t>
            </w:r>
            <w:r>
              <w:rPr>
                <w:rFonts w:ascii="Times New Roman" w:hAnsi="Times New Roman"/>
                <w:sz w:val="20"/>
                <w:u w:val="single"/>
              </w:rPr>
              <w:t xml:space="preserve">0.079</w:t>
            </w:r>
          </w:p>
        </w:tc>
        <w:tc>
          <w:tcPr>
            <w:tcW w:w="1460" w:type="dxa"/>
            <w:vAlign w:val="top"/>
          </w:tcPr>
          <w:p>
            <w:pPr>
              <w:ind w:left="0" w:right="0" w:firstLine="0"/>
              <w:jc w:val="both"/>
            </w:pPr>
            <w:r>
              <w:t>((</w:t>
            </w:r>
            <w:r>
              <w:rPr>
                <w:rFonts w:ascii="Times New Roman" w:hAnsi="Times New Roman"/>
                <w:strike/>
                <w:sz w:val="20"/>
              </w:rPr>
              <w:t xml:space="preserve">0.7</w:t>
            </w:r>
            <w:r>
              <w:t>))</w:t>
            </w:r>
            <w:r>
              <w:rPr>
                <w:rFonts w:ascii="Times New Roman" w:hAnsi="Times New Roman"/>
                <w:sz w:val="20"/>
              </w:rPr>
              <w:t xml:space="preserve"> </w:t>
            </w:r>
            <w:r>
              <w:rPr>
                <w:rFonts w:ascii="Times New Roman" w:hAnsi="Times New Roman"/>
                <w:sz w:val="20"/>
                <w:u w:val="single"/>
              </w:rPr>
              <w:t xml:space="preserve">0.092</w:t>
            </w:r>
          </w:p>
        </w:tc>
        <w:tc>
          <w:tcPr>
            <w:tcW w:w="1460" w:type="dxa"/>
            <w:vAlign w:val="top"/>
          </w:tcPr>
          <w:p>
            <w:pPr>
              <w:ind w:left="0" w:right="0" w:firstLine="0"/>
              <w:jc w:val="both"/>
            </w:pPr>
            <w:r>
              <w:t>((</w:t>
            </w:r>
            <w:r>
              <w:rPr>
                <w:rFonts w:ascii="Times New Roman" w:hAnsi="Times New Roman"/>
                <w:strike/>
                <w:sz w:val="20"/>
              </w:rPr>
              <w:t xml:space="preserve">1.3</w:t>
            </w:r>
            <w:r>
              <w:t>))</w:t>
            </w:r>
            <w:r>
              <w:rPr>
                <w:rFonts w:ascii="Times New Roman" w:hAnsi="Times New Roman"/>
                <w:sz w:val="20"/>
              </w:rPr>
              <w:t xml:space="preserve"> </w:t>
            </w:r>
            <w:r>
              <w:rPr>
                <w:rFonts w:ascii="Times New Roman" w:hAnsi="Times New Roman"/>
                <w:sz w:val="20"/>
                <w:u w:val="single"/>
              </w:rPr>
              <w:t xml:space="preserve">0.141</w:t>
            </w:r>
          </w:p>
        </w:tc>
      </w:tr>
      <w:tr>
        <w:tc>
          <w:tcPr>
            <w:tcW w:w="5720" w:type="dxa"/>
            <w:vAlign w:val="top"/>
          </w:tcPr>
          <w:p>
            <w:pPr>
              <w:tabs>
                <w:tab w:val="right" w:leader="dot" w:pos="5708"/>
              </w:tabs>
              <w:ind w:left="0" w:right="0" w:firstLine="0"/>
              <w:jc w:val="both"/>
            </w:pPr>
            <w:r>
              <w:rPr>
                <w:rFonts w:ascii="Times New Roman" w:hAnsi="Times New Roman"/>
                <w:sz w:val="20"/>
              </w:rPr>
              <w:t xml:space="preserve">Parent involvement coordinators</w:t>
            </w:r>
            <w:r>
              <w:tab/>
            </w:r>
          </w:p>
        </w:tc>
        <w:tc>
          <w:tcPr>
            <w:tcW w:w="1520" w:type="dxa"/>
            <w:vAlign w:val="top"/>
          </w:tcPr>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0.50</w:t>
            </w:r>
          </w:p>
        </w:tc>
        <w:tc>
          <w:tcPr>
            <w:tcW w:w="1460" w:type="dxa"/>
            <w:vAlign w:val="top"/>
          </w:tcPr>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0.00</w:t>
            </w:r>
          </w:p>
        </w:tc>
        <w:tc>
          <w:tcPr>
            <w:tcW w:w="1460" w:type="dxa"/>
            <w:vAlign w:val="top"/>
          </w:tcPr>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0.00</w:t>
            </w:r>
          </w:p>
        </w:tc>
      </w:tr>
    </w:tbl>
    <w:p>
      <w:pPr>
        <w:ind w:left="0" w:right="0" w:firstLine="360"/>
        <w:jc w:val="both"/>
      </w:pPr>
      <w:r>
        <w:rPr/>
        <w:t xml:space="preserve">(6)(a) The minimum staffing allocation for each school district to provide district-wide support services shall be allocated per one thousand annual average full-time equivalent students in grades K-12 as follows:</w:t>
      </w:r>
    </w:p>
    <w:p>
      <w:pPr>
        <w:ind w:left="0" w:right="0" w:firstLine="360"/>
        <w:jc w:val="right"/>
      </w:pPr>
      <w:r>
        <w:rPr/>
        <w:t xml:space="preserve">Staff per 1,000</w:t>
      </w:r>
    </w:p>
    <w:p>
      <w:pPr>
        <w:ind w:left="0" w:right="0" w:firstLine="360"/>
        <w:jc w:val="right"/>
      </w:pPr>
      <w:r>
        <w:rPr/>
        <w:t xml:space="preserve">K-12 students</w:t>
      </w:r>
    </w:p>
    <w:p>
      <w:pPr>
        <w:ind w:left="0" w:right="0" w:firstLine="0"/>
        <w:jc w:val="both"/>
        <w:tabs>
          <w:tab w:val="right" w:leader="dot" w:pos="9936"/>
        </w:tabs>
      </w:pPr>
      <w:r>
        <w:rPr/>
        <w:t xml:space="preserve">Technology</w:t>
      </w:r>
      <w:r>
        <w:tab/>
      </w:r>
      <w:r>
        <w:rPr/>
        <w:t xml:space="preserve"> </w:t>
      </w:r>
      <w:r>
        <w:t>((</w:t>
      </w:r>
      <w:r>
        <w:rPr>
          <w:strike/>
        </w:rPr>
        <w:t xml:space="preserve">2.8</w:t>
      </w:r>
      <w:r>
        <w:t>))</w:t>
      </w:r>
      <w:r>
        <w:rPr/>
        <w:t xml:space="preserve"> </w:t>
      </w:r>
      <w:r>
        <w:rPr>
          <w:u w:val="single"/>
        </w:rPr>
        <w:t xml:space="preserve">0.628</w:t>
      </w:r>
    </w:p>
    <w:p>
      <w:pPr>
        <w:ind w:left="0" w:right="0" w:firstLine="0"/>
        <w:jc w:val="both"/>
        <w:tabs>
          <w:tab w:val="right" w:leader="dot" w:pos="9936"/>
        </w:tabs>
      </w:pPr>
      <w:r>
        <w:rPr/>
        <w:t xml:space="preserve">Facilities, maintenance, and grounds</w:t>
      </w:r>
      <w:r>
        <w:tab/>
      </w:r>
      <w:r>
        <w:rPr/>
        <w:t xml:space="preserve"> </w:t>
      </w:r>
      <w:r>
        <w:t>((</w:t>
      </w:r>
      <w:r>
        <w:rPr>
          <w:strike/>
        </w:rPr>
        <w:t xml:space="preserve">4.0</w:t>
      </w:r>
      <w:r>
        <w:t>))</w:t>
      </w:r>
      <w:r>
        <w:rPr/>
        <w:t xml:space="preserve"> </w:t>
      </w:r>
      <w:r>
        <w:rPr>
          <w:u w:val="single"/>
        </w:rPr>
        <w:t xml:space="preserve">1.813</w:t>
      </w:r>
    </w:p>
    <w:p>
      <w:pPr>
        <w:ind w:left="0" w:right="0" w:firstLine="0"/>
        <w:jc w:val="both"/>
        <w:tabs>
          <w:tab w:val="right" w:leader="dot" w:pos="9936"/>
        </w:tabs>
      </w:pPr>
      <w:r>
        <w:rPr/>
        <w:t xml:space="preserve">Warehouse, laborers, and mechanics</w:t>
      </w:r>
      <w:r>
        <w:tab/>
      </w:r>
      <w:r>
        <w:rPr/>
        <w:t xml:space="preserve"> </w:t>
      </w:r>
      <w:r>
        <w:t>((</w:t>
      </w:r>
      <w:r>
        <w:rPr>
          <w:strike/>
        </w:rPr>
        <w:t xml:space="preserve">1.9</w:t>
      </w:r>
      <w:r>
        <w:t>))</w:t>
      </w:r>
      <w:r>
        <w:rPr/>
        <w:t xml:space="preserve"> </w:t>
      </w:r>
      <w:r>
        <w:rPr>
          <w:u w:val="single"/>
        </w:rPr>
        <w:t xml:space="preserve">0.332</w:t>
      </w:r>
    </w:p>
    <w:p>
      <w:pPr>
        <w:ind w:left="0" w:right="0" w:firstLine="360"/>
        <w:jc w:val="both"/>
      </w:pPr>
      <w:r>
        <w:rPr/>
        <w:t xml:space="preserve">(b) The minimum allocation of staff units for each school district to support certificated and classified staffing of central administration shall be 5.30 percent of the staff units generated under subsections (4)(a) </w:t>
      </w:r>
      <w:r>
        <w:t>((</w:t>
      </w:r>
      <w:r>
        <w:rPr>
          <w:strike/>
        </w:rPr>
        <w:t xml:space="preserve">and (b)</w:t>
      </w:r>
      <w:r>
        <w:t>))</w:t>
      </w:r>
      <w:r>
        <w:rPr/>
        <w:t xml:space="preserve"> and (5) of this section and (a) of this subsection.</w:t>
      </w:r>
    </w:p>
    <w:p>
      <w:pPr>
        <w:ind w:left="0" w:right="0" w:firstLine="360"/>
        <w:jc w:val="both"/>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ind w:left="0" w:right="0" w:firstLine="360"/>
        <w:jc w:val="both"/>
      </w:pPr>
      <w:r>
        <w:rPr/>
        <w:t xml:space="preserve">(8)(a) Except as provided in (b) </w:t>
      </w:r>
      <w:r>
        <w:t>((</w:t>
      </w:r>
      <w:r>
        <w:rPr>
          <w:strike/>
        </w:rPr>
        <w:t xml:space="preserve">and (c)</w:t>
      </w:r>
      <w:r>
        <w:t>))</w:t>
      </w:r>
      <w:r>
        <w:rPr/>
        <w:t xml:space="preserve"> of this subsection, the minimum allocation for each school district shall include allocations per annual average full-time equivalent student for the following materials, supplies, and operating costs, to be adjusted for inflation from the </w:t>
      </w:r>
      <w:r>
        <w:t>((</w:t>
      </w:r>
      <w:r>
        <w:rPr>
          <w:strike/>
        </w:rPr>
        <w:t xml:space="preserve">2008-09</w:t>
      </w:r>
      <w:r>
        <w:t>))</w:t>
      </w:r>
      <w:r>
        <w:rPr/>
        <w:t xml:space="preserve"> </w:t>
      </w:r>
      <w:r>
        <w:rPr>
          <w:u w:val="single"/>
        </w:rPr>
        <w:t xml:space="preserve">2015-16</w:t>
      </w:r>
      <w:r>
        <w:rPr/>
        <w:t xml:space="preserve"> school year: </w:t>
      </w:r>
    </w:p>
    <w:p>
      <w:pPr>
        <w:ind w:left="0" w:right="0" w:firstLine="360"/>
        <w:jc w:val="right"/>
      </w:pPr>
      <w:r>
        <w:rPr/>
        <w:t xml:space="preserve">Per annual average</w:t>
      </w:r>
    </w:p>
    <w:p>
      <w:pPr>
        <w:ind w:left="0" w:right="0" w:firstLine="360"/>
        <w:jc w:val="right"/>
      </w:pPr>
      <w:r>
        <w:rPr/>
        <w:t xml:space="preserve">full-time equivalent student</w:t>
      </w:r>
    </w:p>
    <w:p>
      <w:pPr>
        <w:ind w:left="0" w:right="0" w:firstLine="360"/>
        <w:jc w:val="right"/>
      </w:pPr>
      <w:r>
        <w:rPr/>
        <w:t xml:space="preserve">in grades K-12</w:t>
      </w:r>
    </w:p>
    <w:p>
      <w:pPr>
        <w:ind w:left="0" w:right="0" w:firstLine="0"/>
        <w:jc w:val="both"/>
        <w:tabs>
          <w:tab w:val="right" w:leader="dot" w:pos="9936"/>
        </w:tabs>
      </w:pPr>
      <w:r>
        <w:rPr/>
        <w:t xml:space="preserve">Technology</w:t>
      </w:r>
      <w:r>
        <w:tab/>
      </w:r>
      <w:r>
        <w:t>((</w:t>
      </w:r>
      <w:r>
        <w:rPr>
          <w:strike/>
        </w:rPr>
        <w:t xml:space="preserve">$54.43</w:t>
      </w:r>
      <w:r>
        <w:t>))</w:t>
      </w:r>
      <w:r>
        <w:rPr/>
        <w:t xml:space="preserve"> </w:t>
      </w:r>
      <w:r>
        <w:rPr>
          <w:u w:val="single"/>
        </w:rPr>
        <w:t xml:space="preserve">$127.17</w:t>
      </w:r>
    </w:p>
    <w:p>
      <w:pPr>
        <w:ind w:left="0" w:right="0" w:firstLine="0"/>
        <w:jc w:val="both"/>
        <w:tabs>
          <w:tab w:val="right" w:leader="dot" w:pos="9936"/>
        </w:tabs>
      </w:pPr>
      <w:r>
        <w:rPr/>
        <w:t xml:space="preserve">Utilities and insurance</w:t>
      </w:r>
      <w:r>
        <w:tab/>
      </w:r>
      <w:r>
        <w:t>((</w:t>
      </w:r>
      <w:r>
        <w:rPr>
          <w:strike/>
        </w:rPr>
        <w:t xml:space="preserve">$147.90</w:t>
      </w:r>
      <w:r>
        <w:t>))</w:t>
      </w:r>
      <w:r>
        <w:rPr/>
        <w:t xml:space="preserve"> </w:t>
      </w:r>
      <w:r>
        <w:rPr>
          <w:u w:val="single"/>
        </w:rPr>
        <w:t xml:space="preserve">$345.55</w:t>
      </w:r>
    </w:p>
    <w:p>
      <w:pPr>
        <w:ind w:left="0" w:right="0" w:firstLine="0"/>
        <w:jc w:val="both"/>
        <w:tabs>
          <w:tab w:val="right" w:leader="dot" w:pos="9936"/>
        </w:tabs>
      </w:pPr>
      <w:r>
        <w:rPr/>
        <w:t xml:space="preserve">Curriculum and textbooks</w:t>
      </w:r>
      <w:r>
        <w:tab/>
      </w:r>
      <w:r>
        <w:t>((</w:t>
      </w:r>
      <w:r>
        <w:rPr>
          <w:strike/>
        </w:rPr>
        <w:t xml:space="preserve">$58.44</w:t>
      </w:r>
      <w:r>
        <w:t>))</w:t>
      </w:r>
      <w:r>
        <w:rPr/>
        <w:t xml:space="preserve"> </w:t>
      </w:r>
      <w:r>
        <w:rPr>
          <w:u w:val="single"/>
        </w:rPr>
        <w:t xml:space="preserve">$136.54</w:t>
      </w:r>
    </w:p>
    <w:p>
      <w:pPr>
        <w:ind w:left="0" w:right="0" w:firstLine="0"/>
        <w:jc w:val="both"/>
        <w:tabs>
          <w:tab w:val="right" w:leader="dot" w:pos="9936"/>
        </w:tabs>
      </w:pPr>
      <w:r>
        <w:rPr/>
        <w:t xml:space="preserve">Other supplies and library materials</w:t>
      </w:r>
      <w:r>
        <w:tab/>
      </w:r>
      <w:r>
        <w:t>((</w:t>
      </w:r>
      <w:r>
        <w:rPr>
          <w:strike/>
        </w:rPr>
        <w:t xml:space="preserve">$124.07</w:t>
      </w:r>
      <w:r>
        <w:t>))</w:t>
      </w:r>
      <w:r>
        <w:rPr/>
        <w:t xml:space="preserve"> </w:t>
      </w:r>
      <w:r>
        <w:rPr>
          <w:u w:val="single"/>
        </w:rPr>
        <w:t xml:space="preserve">$289.88</w:t>
      </w:r>
    </w:p>
    <w:p>
      <w:pPr>
        <w:ind w:left="0" w:right="0" w:firstLine="0"/>
        <w:jc w:val="both"/>
      </w:pPr>
      <w:r>
        <w:rPr/>
        <w:t xml:space="preserve">Instructional professional development for certified and</w:t>
      </w:r>
    </w:p>
    <w:p>
      <w:pPr>
        <w:ind w:left="0" w:right="0" w:firstLine="0"/>
        <w:jc w:val="both"/>
        <w:tabs>
          <w:tab w:val="right" w:leader="dot" w:pos="9936"/>
        </w:tabs>
      </w:pPr>
      <w:r>
        <w:rPr/>
        <w:t xml:space="preserve">classified staff</w:t>
      </w:r>
      <w:r>
        <w:tab/>
      </w:r>
      <w:r>
        <w:t>((</w:t>
      </w:r>
      <w:r>
        <w:rPr>
          <w:strike/>
        </w:rPr>
        <w:t xml:space="preserve">$9.04</w:t>
      </w:r>
      <w:r>
        <w:t>))</w:t>
      </w:r>
      <w:r>
        <w:rPr/>
        <w:t xml:space="preserve"> </w:t>
      </w:r>
      <w:r>
        <w:rPr>
          <w:u w:val="single"/>
        </w:rPr>
        <w:t xml:space="preserve">$21.12</w:t>
      </w:r>
    </w:p>
    <w:p>
      <w:pPr>
        <w:ind w:left="0" w:right="0" w:firstLine="0"/>
        <w:jc w:val="both"/>
        <w:tabs>
          <w:tab w:val="right" w:leader="dot" w:pos="9936"/>
        </w:tabs>
      </w:pPr>
      <w:r>
        <w:rPr/>
        <w:t xml:space="preserve">Facilities maintenance</w:t>
      </w:r>
      <w:r>
        <w:tab/>
      </w:r>
      <w:r>
        <w:t>((</w:t>
      </w:r>
      <w:r>
        <w:rPr>
          <w:strike/>
        </w:rPr>
        <w:t xml:space="preserve">$73.27</w:t>
      </w:r>
      <w:r>
        <w:t>))</w:t>
      </w:r>
      <w:r>
        <w:rPr/>
        <w:t xml:space="preserve"> </w:t>
      </w:r>
      <w:r>
        <w:rPr>
          <w:u w:val="single"/>
        </w:rPr>
        <w:t xml:space="preserve">$171.19</w:t>
      </w:r>
    </w:p>
    <w:p>
      <w:pPr>
        <w:ind w:left="0" w:right="0" w:firstLine="0"/>
        <w:jc w:val="both"/>
        <w:tabs>
          <w:tab w:val="right" w:leader="dot" w:pos="9936"/>
        </w:tabs>
      </w:pPr>
      <w:r>
        <w:rPr/>
        <w:t xml:space="preserve">Security and central office</w:t>
      </w:r>
      <w:r>
        <w:tab/>
      </w:r>
      <w:r>
        <w:t>((</w:t>
      </w:r>
      <w:r>
        <w:rPr>
          <w:strike/>
        </w:rPr>
        <w:t xml:space="preserve">$50.76</w:t>
      </w:r>
      <w:r>
        <w:t>))</w:t>
      </w:r>
      <w:r>
        <w:rPr/>
        <w:t xml:space="preserve"> </w:t>
      </w:r>
      <w:r>
        <w:rPr>
          <w:u w:val="single"/>
        </w:rPr>
        <w:t xml:space="preserve">$118.60</w:t>
      </w:r>
    </w:p>
    <w:p>
      <w:pPr>
        <w:ind w:left="0" w:right="0" w:firstLine="360"/>
        <w:jc w:val="both"/>
      </w:pPr>
      <w:r>
        <w:rPr/>
        <w:t xml:space="preserve">(b) </w:t>
      </w:r>
      <w:r>
        <w:t>((</w:t>
      </w:r>
      <w:r>
        <w:rPr>
          <w:strike/>
        </w:rPr>
        <w:t xml:space="preserve">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ind w:left="0" w:right="0" w:firstLine="360"/>
        <w:jc w:val="right"/>
      </w:pPr>
      <w:r>
        <w:rPr>
          <w:strike/>
        </w:rPr>
        <w:t xml:space="preserve">Per annual average</w:t>
      </w:r>
    </w:p>
    <w:p>
      <w:pPr>
        <w:ind w:left="0" w:right="0" w:firstLine="360"/>
        <w:jc w:val="right"/>
      </w:pPr>
      <w:r>
        <w:rPr>
          <w:strike/>
        </w:rPr>
        <w:t xml:space="preserve">full-time equivalent student</w:t>
      </w:r>
    </w:p>
    <w:p>
      <w:pPr>
        <w:ind w:left="0" w:right="0" w:firstLine="360"/>
        <w:jc w:val="right"/>
      </w:pPr>
      <w:r>
        <w:rPr>
          <w:strike/>
        </w:rPr>
        <w:t xml:space="preserve">in grades K-12</w:t>
      </w:r>
    </w:p>
    <w:p>
      <w:pPr>
        <w:ind w:left="0" w:right="0" w:firstLine="0"/>
        <w:jc w:val="both"/>
        <w:tabs>
          <w:tab w:val="right" w:leader="dot" w:pos="9936"/>
        </w:tabs>
      </w:pPr>
      <w:r>
        <w:rPr>
          <w:strike/>
        </w:rPr>
        <w:t xml:space="preserve">Technology</w:t>
      </w:r>
      <w:r>
        <w:tab/>
      </w:r>
      <w:r>
        <w:rPr>
          <w:strike/>
        </w:rPr>
        <w:t xml:space="preserve">$113.80</w:t>
      </w:r>
    </w:p>
    <w:p>
      <w:pPr>
        <w:ind w:left="0" w:right="0" w:firstLine="0"/>
        <w:jc w:val="both"/>
        <w:tabs>
          <w:tab w:val="right" w:leader="dot" w:pos="9936"/>
        </w:tabs>
      </w:pPr>
      <w:r>
        <w:rPr>
          <w:strike/>
        </w:rPr>
        <w:t xml:space="preserve">Utilities and insurance</w:t>
      </w:r>
      <w:r>
        <w:tab/>
      </w:r>
      <w:r>
        <w:rPr>
          <w:strike/>
        </w:rPr>
        <w:t xml:space="preserve">$309.21</w:t>
      </w:r>
    </w:p>
    <w:p>
      <w:pPr>
        <w:ind w:left="0" w:right="0" w:firstLine="0"/>
        <w:jc w:val="both"/>
        <w:tabs>
          <w:tab w:val="right" w:leader="dot" w:pos="9936"/>
        </w:tabs>
      </w:pPr>
      <w:r>
        <w:rPr>
          <w:strike/>
        </w:rPr>
        <w:t xml:space="preserve">Curriculum and textbooks</w:t>
      </w:r>
      <w:r>
        <w:tab/>
      </w:r>
      <w:r>
        <w:rPr>
          <w:strike/>
        </w:rPr>
        <w:t xml:space="preserve">$122.17</w:t>
      </w:r>
    </w:p>
    <w:p>
      <w:pPr>
        <w:ind w:left="0" w:right="0" w:firstLine="0"/>
        <w:jc w:val="both"/>
        <w:tabs>
          <w:tab w:val="right" w:leader="dot" w:pos="9936"/>
        </w:tabs>
      </w:pPr>
      <w:r>
        <w:rPr>
          <w:strike/>
        </w:rPr>
        <w:t xml:space="preserve">Other supplies and library materials</w:t>
      </w:r>
      <w:r>
        <w:tab/>
      </w:r>
      <w:r>
        <w:rPr>
          <w:strike/>
        </w:rPr>
        <w:t xml:space="preserve">$259.39</w:t>
      </w:r>
    </w:p>
    <w:p>
      <w:pPr>
        <w:ind w:left="0" w:right="0" w:firstLine="0"/>
        <w:jc w:val="both"/>
      </w:pPr>
      <w:r>
        <w:rPr>
          <w:strike/>
        </w:rPr>
        <w:t xml:space="preserve">Instructional professional development for certificated and</w:t>
      </w:r>
    </w:p>
    <w:p>
      <w:pPr>
        <w:ind w:left="0" w:right="0" w:firstLine="0"/>
        <w:jc w:val="both"/>
        <w:tabs>
          <w:tab w:val="right" w:leader="dot" w:pos="9936"/>
        </w:tabs>
      </w:pPr>
      <w:r>
        <w:rPr>
          <w:strike/>
        </w:rPr>
        <w:t xml:space="preserve">classified staff</w:t>
      </w:r>
      <w:r>
        <w:tab/>
      </w:r>
      <w:r>
        <w:rPr>
          <w:strike/>
        </w:rPr>
        <w:t xml:space="preserve">$18.89</w:t>
      </w:r>
    </w:p>
    <w:p>
      <w:pPr>
        <w:ind w:left="0" w:right="0" w:firstLine="0"/>
        <w:jc w:val="both"/>
        <w:tabs>
          <w:tab w:val="right" w:leader="dot" w:pos="9936"/>
        </w:tabs>
      </w:pPr>
      <w:r>
        <w:rPr>
          <w:strike/>
        </w:rPr>
        <w:t xml:space="preserve">Facilities maintenance</w:t>
      </w:r>
      <w:r>
        <w:tab/>
      </w:r>
      <w:r>
        <w:rPr>
          <w:strike/>
        </w:rPr>
        <w:t xml:space="preserve">$153.18</w:t>
      </w:r>
    </w:p>
    <w:p>
      <w:pPr>
        <w:ind w:left="0" w:right="0" w:firstLine="0"/>
        <w:jc w:val="both"/>
        <w:tabs>
          <w:tab w:val="right" w:leader="dot" w:pos="9936"/>
        </w:tabs>
      </w:pPr>
      <w:r>
        <w:rPr>
          <w:strike/>
        </w:rPr>
        <w:t xml:space="preserve">Security and central office administration</w:t>
      </w:r>
      <w:r>
        <w:tab/>
      </w:r>
      <w:r>
        <w:rPr>
          <w:strike/>
        </w:rPr>
        <w:t xml:space="preserve">$106.12</w:t>
      </w:r>
    </w:p>
    <w:p>
      <w:pPr>
        <w:ind w:left="0" w:right="0" w:firstLine="360"/>
        <w:jc w:val="both"/>
      </w:pPr>
      <w:r>
        <w:rPr>
          <w:strike/>
        </w:rPr>
        <w:t xml:space="preserve">(c)</w:t>
      </w:r>
      <w:r>
        <w:t>))</w:t>
      </w:r>
      <w:r>
        <w:rPr/>
        <w:t xml:space="preserve"> In addition to the amounts provided in (a) </w:t>
      </w:r>
      <w:r>
        <w:t>((</w:t>
      </w:r>
      <w:r>
        <w:rPr>
          <w:strike/>
        </w:rPr>
        <w:t xml:space="preserve">and (b)</w:t>
      </w:r>
      <w:r>
        <w:t>))</w:t>
      </w:r>
      <w:r>
        <w:rPr/>
        <w:t xml:space="preserve">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ind w:left="0" w:right="0" w:firstLine="0"/>
        <w:jc w:val="right"/>
      </w:pPr>
      <w:r>
        <w:rPr/>
        <w:t xml:space="preserve">Per annual average</w:t>
      </w:r>
    </w:p>
    <w:p>
      <w:pPr>
        <w:ind w:left="0" w:right="0" w:firstLine="0"/>
        <w:jc w:val="right"/>
      </w:pPr>
      <w:r>
        <w:rPr/>
        <w:t xml:space="preserve">full-time equivalent student</w:t>
      </w:r>
    </w:p>
    <w:p>
      <w:pPr>
        <w:ind w:left="0" w:right="0" w:firstLine="0"/>
        <w:jc w:val="right"/>
      </w:pPr>
      <w:r>
        <w:rPr/>
        <w:t xml:space="preserve">in grades 9-12</w:t>
      </w:r>
    </w:p>
    <w:p>
      <w:pPr>
        <w:ind w:left="0" w:right="0" w:firstLine="0"/>
        <w:jc w:val="both"/>
        <w:tabs>
          <w:tab w:val="right" w:leader="dot" w:pos="9936"/>
        </w:tabs>
      </w:pPr>
      <w:r>
        <w:rPr/>
        <w:t xml:space="preserve">Technology</w:t>
      </w:r>
      <w:r>
        <w:tab/>
      </w:r>
      <w:r>
        <w:rPr/>
        <w:t xml:space="preserve">$36.35</w:t>
      </w:r>
    </w:p>
    <w:p>
      <w:pPr>
        <w:ind w:left="0" w:right="0" w:firstLine="0"/>
        <w:jc w:val="both"/>
        <w:tabs>
          <w:tab w:val="right" w:leader="dot" w:pos="9936"/>
        </w:tabs>
      </w:pPr>
      <w:r>
        <w:rPr/>
        <w:t xml:space="preserve">Curriculum and textbooks</w:t>
      </w:r>
      <w:r>
        <w:tab/>
      </w:r>
      <w:r>
        <w:rPr/>
        <w:t xml:space="preserve">$39.02</w:t>
      </w:r>
    </w:p>
    <w:p>
      <w:pPr>
        <w:ind w:left="0" w:right="0" w:firstLine="0"/>
        <w:jc w:val="both"/>
        <w:tabs>
          <w:tab w:val="right" w:leader="dot" w:pos="9936"/>
        </w:tabs>
      </w:pPr>
      <w:r>
        <w:rPr/>
        <w:t xml:space="preserve">Other supplies and library materials</w:t>
      </w:r>
      <w:r>
        <w:tab/>
      </w:r>
      <w:r>
        <w:rPr/>
        <w:t xml:space="preserve">$82.84</w:t>
      </w:r>
    </w:p>
    <w:p>
      <w:pPr>
        <w:ind w:left="0" w:right="0" w:firstLine="0"/>
        <w:jc w:val="both"/>
      </w:pPr>
      <w:r>
        <w:rPr/>
        <w:t xml:space="preserve">Instructional professional development for certificated and</w:t>
      </w:r>
    </w:p>
    <w:p>
      <w:pPr>
        <w:ind w:left="0" w:right="0" w:firstLine="0"/>
        <w:jc w:val="both"/>
        <w:tabs>
          <w:tab w:val="right" w:leader="dot" w:pos="9936"/>
        </w:tabs>
      </w:pPr>
      <w:r>
        <w:rPr/>
        <w:t xml:space="preserve">classified staff</w:t>
      </w:r>
      <w:r>
        <w:tab/>
      </w:r>
      <w:r>
        <w:rPr/>
        <w:t xml:space="preserve">$6.04</w:t>
      </w:r>
    </w:p>
    <w:p>
      <w:pPr>
        <w:ind w:left="0" w:right="0" w:firstLine="360"/>
        <w:jc w:val="both"/>
      </w:pPr>
      <w:r>
        <w:rPr/>
        <w:t xml:space="preserve">(9) In addition to the amounts provided in subsection (8) of this section, the omnibus appropriations act shall provide an amount based on full-time equivalent student enrollment in each of the following:</w:t>
      </w:r>
    </w:p>
    <w:p>
      <w:pPr>
        <w:ind w:left="0" w:right="0" w:firstLine="360"/>
        <w:jc w:val="both"/>
      </w:pPr>
      <w:r>
        <w:rPr/>
        <w:t xml:space="preserve">(a) Exploratory career and technical education courses for students in grades seven through twelve;</w:t>
      </w:r>
    </w:p>
    <w:p>
      <w:pPr>
        <w:ind w:left="0" w:right="0" w:firstLine="360"/>
        <w:jc w:val="both"/>
      </w:pPr>
      <w:r>
        <w:rPr/>
        <w:t xml:space="preserve">(b) Preparatory career and technical education courses for students in grades nine through twelve offered in a high school; and</w:t>
      </w:r>
    </w:p>
    <w:p>
      <w:pPr>
        <w:ind w:left="0" w:right="0" w:firstLine="360"/>
        <w:jc w:val="both"/>
      </w:pPr>
      <w:r>
        <w:rPr/>
        <w:t xml:space="preserve">(c) Preparatory career and technical education courses for students in grades eleven and twelve offered through a skill center.</w:t>
      </w:r>
    </w:p>
    <w:p>
      <w:pPr>
        <w:ind w:left="0" w:right="0" w:firstLine="360"/>
        <w:jc w:val="both"/>
      </w:pPr>
      <w:r>
        <w:rPr/>
        <w:t xml:space="preserve">(10) In addition to the allocations otherwise provided under this section, amounts shall be provided to support the following programs and services:</w:t>
      </w:r>
    </w:p>
    <w:p>
      <w:pPr>
        <w:ind w:left="0" w:right="0" w:firstLine="360"/>
        <w:jc w:val="both"/>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w:t>
      </w:r>
      <w:r>
        <w:t>))</w:t>
      </w:r>
      <w:r>
        <w:rPr/>
        <w:t xml:space="preserve"> </w:t>
      </w:r>
      <w:r>
        <w:rPr>
          <w:u w:val="single"/>
        </w:rPr>
        <w:t xml:space="preserve">2.3975</w:t>
      </w:r>
      <w:r>
        <w:rPr/>
        <w:t xml:space="preserve"> hours per week in extra instruction with a class size of fifteen learning assistance program students per teacher.</w:t>
      </w:r>
    </w:p>
    <w:p>
      <w:pPr>
        <w:ind w:left="0" w:right="0" w:firstLine="360"/>
        <w:jc w:val="both"/>
      </w:pPr>
      <w:r>
        <w:rPr/>
        <w:t xml:space="preserve">(b)</w:t>
      </w:r>
      <w:r>
        <w:rPr>
          <w:u w:val="single"/>
        </w:rPr>
        <w:t xml:space="preserve">(i)</w:t>
      </w:r>
      <w:r>
        <w:rPr/>
        <w:t xml:space="preserve">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w:t>
      </w:r>
    </w:p>
    <w:p>
      <w:pPr>
        <w:ind w:left="0" w:right="0" w:firstLine="360"/>
        <w:jc w:val="both"/>
      </w:pPr>
      <w:r>
        <w:rPr>
          <w:u w:val="single"/>
        </w:rPr>
        <w:t xml:space="preserve">(ii)</w:t>
      </w:r>
      <w:r>
        <w:rPr/>
        <w:t xml:space="preserve"> The minimum allocation for </w:t>
      </w:r>
      <w:r>
        <w:t>((</w:t>
      </w:r>
      <w:r>
        <w:rPr>
          <w:strike/>
        </w:rPr>
        <w:t xml:space="preserve">each level of</w:t>
      </w:r>
      <w:r>
        <w:t>))</w:t>
      </w:r>
      <w:r>
        <w:rPr/>
        <w:t xml:space="preserve"> prototypical </w:t>
      </w:r>
      <w:r>
        <w:rPr>
          <w:u w:val="single"/>
        </w:rPr>
        <w:t xml:space="preserve">elementary</w:t>
      </w:r>
      <w:r>
        <w:rPr/>
        <w:t xml:space="preserve"> school</w:t>
      </w:r>
      <w:r>
        <w:rPr>
          <w:u w:val="single"/>
        </w:rPr>
        <w:t xml:space="preserve">s</w:t>
      </w:r>
      <w:r>
        <w:rPr/>
        <w:t xml:space="preserve"> shall provide resources to provide, on a statewide average, 4.7780 hours per week in extra instruction with fifteen transitional bilingual instruction program students per teacher.</w:t>
      </w:r>
    </w:p>
    <w:p>
      <w:pPr>
        <w:ind w:left="0" w:right="0" w:firstLine="360"/>
        <w:jc w:val="both"/>
      </w:pPr>
      <w:r>
        <w:rPr>
          <w:u w:val="single"/>
        </w:rPr>
        <w:t xml:space="preserve">(iii) The minimum allocation for prototypical middle schools shall provide resources to provide, on a statewide average, 6.0 hours per week in extra instruction with fifteen transitional bilingual instruction program students per teacher.</w:t>
      </w:r>
    </w:p>
    <w:p>
      <w:pPr>
        <w:ind w:left="0" w:right="0" w:firstLine="360"/>
        <w:jc w:val="both"/>
      </w:pPr>
      <w:r>
        <w:rPr>
          <w:u w:val="single"/>
        </w:rPr>
        <w:t xml:space="preserve">(iv) The minimum allocation for prototypical high schools shall provide resources to provide, on a statewide average, 8.0 hours per week in extra instruction with fifteen transitional bilingual instruction program students per teacher.</w:t>
      </w:r>
    </w:p>
    <w:p>
      <w:pPr>
        <w:ind w:left="0" w:right="0" w:firstLine="360"/>
        <w:jc w:val="both"/>
      </w:pPr>
      <w:r>
        <w:rPr>
          <w:u w:val="single"/>
        </w:rPr>
        <w:t xml:space="preserve">(v)</w:t>
      </w:r>
      <w:r>
        <w:rPr/>
        <w:t xml:space="preserve">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ind w:left="0" w:right="0" w:firstLine="360"/>
        <w:jc w:val="both"/>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ind w:left="0" w:right="0" w:firstLine="360"/>
        <w:jc w:val="both"/>
      </w:pPr>
      <w:r>
        <w:rPr/>
        <w:t xml:space="preserve">(11) The allocations under subsections (4)(a) </w:t>
      </w:r>
      <w:r>
        <w:t>((</w:t>
      </w:r>
      <w:r>
        <w:rPr>
          <w:strike/>
        </w:rPr>
        <w:t xml:space="preserve">and (b)</w:t>
      </w:r>
      <w:r>
        <w:t>))</w:t>
      </w:r>
      <w:r>
        <w:rPr/>
        <w:t xml:space="preserve">, (5), (6), and (8) of this section shall be enhanced as provided under RCW 28A.150.390 on an excess cost basis to provide supplemental instructional resources for students with disabilities.</w:t>
      </w:r>
    </w:p>
    <w:p>
      <w:pPr>
        <w:ind w:left="0" w:right="0" w:firstLine="360"/>
        <w:jc w:val="both"/>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ind w:left="0" w:right="0" w:firstLine="360"/>
        <w:jc w:val="both"/>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ind w:left="0" w:right="0" w:firstLine="360"/>
        <w:jc w:val="both"/>
      </w:pPr>
      <w:r>
        <w:rPr/>
        <w:t xml:space="preserve">(13)(a) This formula for distribution of basic education funds shall be reviewed biennially by the superintendent and governor. The recommended formula shall be subject to approval, amendment or rejection by the legislature.</w:t>
      </w:r>
    </w:p>
    <w:p>
      <w:pPr>
        <w:ind w:left="0" w:right="0" w:firstLine="360"/>
        <w:jc w:val="both"/>
      </w:pPr>
      <w:r>
        <w:rPr/>
        <w:t xml:space="preserve">(b) In the event the legislature rejects the distribution formula recommended by the governor, without adopting a new distribution formula, the distribution formula for the previous school year shall remain in effect.</w:t>
      </w:r>
    </w:p>
    <w:p>
      <w:pPr>
        <w:ind w:left="0" w:right="0" w:firstLine="360"/>
        <w:jc w:val="both"/>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ind w:left="0" w:right="0" w:firstLine="360"/>
        <w:jc w:val="both"/>
      </w:pPr>
      <w:r>
        <w:rPr/>
        <w:t xml:space="preserve">(d) The office of financial management shall make a monthly review of the superintendent's reported full-time equivalent students in the common schools in conjunction with RCW 43.62.050.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261</w:t>
      </w:r>
      <w:r>
        <w:rPr/>
        <w:t xml:space="preserve"> and 2015 c 2 s 3 (Initiative Measure No. 1351) are each amended to read as follows:</w:t>
      </w:r>
    </w:p>
    <w:p>
      <w:pPr>
        <w:ind w:left="0" w:right="0" w:firstLine="360"/>
        <w:jc w:val="both"/>
      </w:pPr>
      <w:r>
        <w:rPr/>
        <w:t xml:space="preserve">FUNDING SCHEDULE FOR INCREASES TO BASIC EDUCATION ALLOCATIONS.</w:t>
      </w:r>
    </w:p>
    <w:p>
      <w:pPr>
        <w:ind w:left="0" w:right="0" w:firstLine="360"/>
        <w:jc w:val="both"/>
      </w:pPr>
      <w:r>
        <w:rPr/>
        <w:t xml:space="preserve">In order to make measurable </w:t>
      </w:r>
      <w:r>
        <w:rPr>
          <w:u w:val="single"/>
        </w:rPr>
        <w:t xml:space="preserve">annual</w:t>
      </w:r>
      <w:r>
        <w:rPr/>
        <w:t xml:space="preserve"> progress toward implementing the provisions of </w:t>
      </w:r>
      <w:r>
        <w:rPr>
          <w:u w:val="single"/>
        </w:rPr>
        <w:t xml:space="preserve">RCW 28A.150.260 and</w:t>
      </w:r>
      <w:r>
        <w:rPr/>
        <w:t xml:space="preserve"> section 2, chapter 2, Laws of 2015 by September 1, 2017, the legislature shall increase state funding allocations under RCW 28A.150.260 according to the following schedule:</w:t>
      </w:r>
    </w:p>
    <w:p>
      <w:pPr>
        <w:ind w:left="0" w:right="0" w:firstLine="360"/>
        <w:jc w:val="both"/>
      </w:pPr>
      <w:r>
        <w:rPr/>
        <w:t xml:space="preserve">(1) For the 2015-2017 biennium, funding allocations shall be no less than </w:t>
      </w:r>
      <w:r>
        <w:t>((</w:t>
      </w:r>
      <w:r>
        <w:rPr>
          <w:strike/>
        </w:rPr>
        <w:t xml:space="preserve">fifty percent of the difference between the funding necessary to support the numerical values under RCW 28A.150.260 as of September 1, 2013, and the funding necessary to support the numerical values under section 2, chapter 2, Laws of 2015, with priority for additional funding provided during this biennium for the highest poverty schools and school districts</w:t>
      </w:r>
      <w:r>
        <w:t>))</w:t>
      </w:r>
      <w:r>
        <w:rPr/>
        <w:t xml:space="preserve"> </w:t>
      </w:r>
      <w:r>
        <w:rPr>
          <w:u w:val="single"/>
        </w:rPr>
        <w:t xml:space="preserve">the funding necessary for the following:</w:t>
      </w:r>
    </w:p>
    <w:p>
      <w:pPr>
        <w:ind w:left="0" w:right="0" w:firstLine="360"/>
        <w:jc w:val="both"/>
      </w:pPr>
      <w:r>
        <w:rPr>
          <w:u w:val="single"/>
        </w:rPr>
        <w:t xml:space="preserve">(a) Implementing class sizes of seventeen for kindergarten through third grade by reducing class sizes in equal annual increments from the 2014-15 school year allocation levels;</w:t>
      </w:r>
    </w:p>
    <w:p>
      <w:pPr>
        <w:ind w:left="0" w:right="0" w:firstLine="360"/>
        <w:jc w:val="both"/>
      </w:pPr>
      <w:r>
        <w:rPr>
          <w:u w:val="single"/>
        </w:rPr>
        <w:t xml:space="preserve">(b) Implementing allocations of 0.5 parent involvement coordinators for the prototypical elementary school and 0.5 guidance counselors for the prototypical middle school and the prototypical high school in equal annual increments from the 2014-15 school year allocation levels</w:t>
      </w:r>
      <w:r>
        <w:rPr/>
        <w:t xml:space="preserve">;</w:t>
      </w:r>
    </w:p>
    <w:p>
      <w:pPr>
        <w:ind w:left="0" w:right="0" w:firstLine="360"/>
        <w:jc w:val="both"/>
      </w:pPr>
      <w:r>
        <w:rPr/>
        <w:t xml:space="preserve">(2) By the </w:t>
      </w:r>
      <w:r>
        <w:t>((</w:t>
      </w:r>
      <w:r>
        <w:rPr>
          <w:strike/>
        </w:rPr>
        <w:t xml:space="preserve">end of the 2017-2019 biennium</w:t>
      </w:r>
      <w:r>
        <w:t>))</w:t>
      </w:r>
      <w:r>
        <w:rPr/>
        <w:t xml:space="preserve"> </w:t>
      </w:r>
      <w:r>
        <w:rPr>
          <w:u w:val="single"/>
        </w:rPr>
        <w:t xml:space="preserve">2017-18 school year</w:t>
      </w:r>
      <w:r>
        <w:rPr/>
        <w:t xml:space="preserve"> and thereafter, funding allocations shall be no less than the funding necessary to support the numerical values under section 2, chapter </w:t>
      </w:r>
      <w:r>
        <w:t>((</w:t>
      </w:r>
      <w:r>
        <w:rPr>
          <w:strike/>
        </w:rPr>
        <w:t xml:space="preserve">2</w:t>
      </w:r>
      <w:r>
        <w:t>))</w:t>
      </w:r>
      <w:r>
        <w:rPr/>
        <w:t xml:space="preserve"> </w:t>
      </w:r>
      <w:r>
        <w:rPr>
          <w:u w:val="single"/>
        </w:rPr>
        <w:t xml:space="preserve">...</w:t>
      </w:r>
      <w:r>
        <w:rPr/>
        <w:t xml:space="preserve">, Laws of 2015 </w:t>
      </w:r>
      <w:r>
        <w:rPr>
          <w:u w:val="single"/>
        </w:rPr>
        <w:t xml:space="preserve">(section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ind w:left="0" w:right="0" w:firstLine="360"/>
        <w:jc w:val="both"/>
      </w:pPr>
      <w:r>
        <w:rPr/>
        <w:t xml:space="preserve">COLA ALLOCATION MADE PART OF STATE'S BASIC EDUCATION OBLIGATION.</w:t>
      </w:r>
    </w:p>
    <w:p>
      <w:pPr>
        <w:ind w:left="0" w:right="0" w:firstLine="360"/>
        <w:jc w:val="both"/>
      </w:pPr>
      <w:r>
        <w:rPr/>
        <w:t xml:space="preserve">(1) </w:t>
      </w:r>
      <w:r>
        <w:t>((</w:t>
      </w:r>
      <w:r>
        <w:rPr>
          <w:strike/>
        </w:rPr>
        <w:t xml:space="preserve">School district employees shall be provided</w:t>
      </w:r>
      <w:r>
        <w:t>))</w:t>
      </w:r>
      <w:r>
        <w:rPr/>
        <w:t xml:space="preserve"> </w:t>
      </w:r>
      <w:r>
        <w:rPr>
          <w:u w:val="single"/>
        </w:rPr>
        <w:t xml:space="preserve">To provide allocations sufficient to hire and retain qualified staff to implement the state's program of basic education, the state shall provide funding for</w:t>
      </w:r>
      <w:r>
        <w:rPr/>
        <w:t xml:space="preserve"> an annual salary cost-of-living increase in accordance with this section.</w:t>
      </w:r>
    </w:p>
    <w:p>
      <w:pPr>
        <w:ind w:left="0" w:right="0" w:firstLine="360"/>
        <w:jc w:val="both"/>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2001-02 school year, and for each subsequent school year, except for the 2013-14 and 2014-15 school years, each school district shall be provided a cost-of-living allocation sufficient to grant this cost-of-living increase.</w:t>
      </w:r>
    </w:p>
    <w:p>
      <w:pPr>
        <w:ind w:left="0" w:right="0" w:firstLine="360"/>
        <w:jc w:val="both"/>
      </w:pPr>
      <w:r>
        <w:rPr/>
        <w:t xml:space="preserve">(b) A school district shall distribute its cost-of-living allocation for salaries and salary-related benefits in accordance with the district's salary schedules, collective bargaining agreements, and compensation policies. No later than the end of the school year, each school district shall certify to the superintendent of public instruction that it has spent funds provided for cost-of-living increases on salaries and salary-related benefits.</w:t>
      </w:r>
    </w:p>
    <w:p>
      <w:pPr>
        <w:ind w:left="0" w:right="0" w:firstLine="360"/>
        <w:jc w:val="both"/>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schedule established under RCW 28A.150.410 and to any other salary models used to recognize school district personnel costs.</w:t>
      </w:r>
    </w:p>
    <w:p>
      <w:pPr>
        <w:ind w:left="0" w:right="0" w:firstLine="360"/>
        <w:jc w:val="both"/>
      </w:pPr>
      <w:r>
        <w:rPr/>
        <w:t xml:space="preserve">(2) For the purposes of this section,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250</w:t>
      </w:r>
      <w:r>
        <w:rPr/>
        <w:t xml:space="preserve"> and 2009 c 548 s 105 are each amended to read as follows:</w:t>
      </w:r>
    </w:p>
    <w:p>
      <w:pPr>
        <w:ind w:left="0" w:right="0" w:firstLine="360"/>
        <w:jc w:val="both"/>
      </w:pPr>
      <w:r>
        <w:rPr/>
        <w:t xml:space="preserve">LEGISLATURE MUST APPROPRIATE COLA AND BENEFITS ALLOCATIONS AS PART OF BASIC EDUCATION APPROPRIATIONS.</w:t>
      </w:r>
    </w:p>
    <w:p>
      <w:pPr>
        <w:ind w:left="0" w:right="0" w:firstLine="360"/>
        <w:jc w:val="both"/>
      </w:pPr>
      <w:r>
        <w:rPr/>
        <w:t xml:space="preserve">(1) From those funds made available by the legislature for the current use of the common schools, the superintendent of public instruction shall distribute annually as provided in RCW 28A.510.250 to each school district of the state operating a basic education instructional program approved by the state board of education an amount based on the formulas provided in RCW 28A.150.260, </w:t>
      </w:r>
      <w:r>
        <w:rPr>
          <w:u w:val="single"/>
        </w:rPr>
        <w:t xml:space="preserve">28A.400.205 (as recodified by this act), section 7 of this act,</w:t>
      </w:r>
      <w:r>
        <w:rPr/>
        <w:t xml:space="preserve"> 28A.150.390, and 28A.150.392 which, when combined with an appropriate portion of such locally available revenues, other than receipts from federal forest revenues distributed to school districts pursuant to RCW 28A.520.010 and 28A.520.020, as the superintendent of public instruction may deem appropriate for consideration in computing state equalization support, excluding excess property tax levies, will constitute a basic education allocation in dollars for each annual average full-time equivalent student enrolled.</w:t>
      </w:r>
    </w:p>
    <w:p>
      <w:pPr>
        <w:ind w:left="0" w:right="0" w:firstLine="360"/>
        <w:jc w:val="both"/>
      </w:pPr>
      <w:r>
        <w:rPr/>
        <w:t xml:space="preserve">(2) The instructional program of basic education shall be considered to be fully funded by those amounts of dollars appropriated by the legislature pursuant to RCW 28A.150.260, </w:t>
      </w:r>
      <w:r>
        <w:rPr>
          <w:u w:val="single"/>
        </w:rPr>
        <w:t xml:space="preserve">28A.400.205 (as recodified by this act), section 7 of this act,</w:t>
      </w:r>
      <w:r>
        <w:rPr/>
        <w:t xml:space="preserve"> 28A.150.390, and 28A.150.392 to fund those program requirements identified in RCW 28A.150.220 in accordance with the formula provided in RCW 28A.150.260 and those amounts of dollars appropriated by the legislature to fund the salary requirements of RCW 28A.150.410.</w:t>
      </w:r>
    </w:p>
    <w:p>
      <w:pPr>
        <w:ind w:left="0" w:right="0" w:firstLine="360"/>
        <w:jc w:val="both"/>
      </w:pPr>
      <w:r>
        <w:rPr/>
        <w:t xml:space="preserve">(3) If a school district's basic education program fails to meet the basic education requirements enumerated in RCW 28A.150.260 and 28A.150.220, the state board of education shall require the superintendent of public instruction to withhold state funds in whole or in part for the basic education allocation until program compliance is assured. However, the state board of education may waive this requirement in the event of substantial lack of classroom space.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ind w:left="0" w:right="0" w:firstLine="360"/>
        <w:jc w:val="both"/>
      </w:pPr>
      <w:r>
        <w:rPr/>
        <w:t xml:space="preserve">STATE TEACHER SALARY SCHEDULE MUST REFLECT COLA ADJUSTMENT.</w:t>
      </w:r>
    </w:p>
    <w:p>
      <w:pPr>
        <w:ind w:left="0" w:right="0" w:firstLine="360"/>
        <w:jc w:val="both"/>
      </w:pPr>
      <w:r>
        <w:rPr/>
        <w:t xml:space="preserve">(1)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 </w:t>
      </w:r>
      <w:r>
        <w:rPr>
          <w:u w:val="single"/>
        </w:rPr>
        <w:t xml:space="preserve">The salary schedule must reflect the cost-of-living adjustments required by RCW 28A.400.205 (as recodified by this act).</w:t>
      </w:r>
    </w:p>
    <w:p>
      <w:pPr>
        <w:ind w:left="0" w:right="0" w:firstLine="360"/>
        <w:jc w:val="both"/>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ind w:left="0" w:right="0" w:firstLine="360"/>
        <w:jc w:val="both"/>
      </w:pPr>
      <w:r>
        <w:rPr/>
        <w:t xml:space="preserve">(3)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ind w:left="0" w:right="0" w:firstLine="360"/>
        <w:jc w:val="both"/>
      </w:pPr>
      <w:r>
        <w:rPr/>
        <w:t xml:space="preserve">(a) The employee has a master's degree; or</w:t>
      </w:r>
    </w:p>
    <w:p>
      <w:pPr>
        <w:ind w:left="0" w:right="0" w:firstLine="360"/>
        <w:jc w:val="both"/>
      </w:pPr>
      <w:r>
        <w:rPr/>
        <w:t xml:space="preserve">(b) The credits were used in generating state salary allocations before January 1, 1992.</w:t>
      </w:r>
    </w:p>
    <w:p>
      <w:pPr>
        <w:ind w:left="0" w:right="0" w:firstLine="360"/>
        <w:jc w:val="both"/>
      </w:pPr>
      <w:r>
        <w:rPr/>
        <w:t xml:space="preserve">(4)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ind w:left="0" w:right="0" w:firstLine="360"/>
        <w:jc w:val="both"/>
      </w:pPr>
      <w:r>
        <w:rPr/>
        <w:t xml:space="preserve">HEALTH INSURANCE BENEFIT ALLOCATION PART OF BASIC EDUCATION OBLIGATION.</w:t>
      </w:r>
    </w:p>
    <w:p>
      <w:pPr>
        <w:ind w:left="0" w:right="0" w:firstLine="360"/>
        <w:jc w:val="both"/>
      </w:pPr>
      <w:r>
        <w:rPr/>
        <w:t xml:space="preserve">State allocations to school districts for the program of basic education under RCW 28A.150.260 must include allocations for health insurance benefits for employees in the state-funded salary base. The allocations for these benefits must be based on the rate at which the state appropriates funding for health insurance for state employees in the omnibus operating appropriations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COLA ALLOCATION STATUTE RECODIFIED IN BASIC EDUCATION CHAPTER.</w:t>
      </w:r>
      <w:r>
        <w:t xml:space="preserve">  </w:t>
      </w:r>
      <w:r>
        <w:rPr/>
        <w:t xml:space="preserve">RCW </w:t>
      </w:r>
      <w:r>
        <w:t xml:space="preserve">28A</w:t>
      </w:r>
      <w:r>
        <w:rPr/>
        <w:t xml:space="preserve">.</w:t>
      </w:r>
      <w:r>
        <w:t xml:space="preserve">400</w:t>
      </w:r>
      <w:r>
        <w:rPr/>
        <w:t xml:space="preserve">.</w:t>
      </w:r>
      <w:r>
        <w:t xml:space="preserve">205</w:t>
      </w:r>
      <w:r>
        <w:rPr/>
        <w:t xml:space="preserve"> is recodified as a section in chapter 28.150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 s 5</w:t>
      </w:r>
      <w:r>
        <w:rPr/>
        <w:t xml:space="preserve"> (Initiative Measure No. 1351) (uncodified) is amended to read as follows:</w:t>
      </w:r>
    </w:p>
    <w:p>
      <w:pPr>
        <w:ind w:left="0" w:right="0" w:firstLine="360"/>
        <w:jc w:val="both"/>
      </w:pPr>
      <w:r>
        <w:rPr/>
        <w:t xml:space="preserve">INITIATIVE MEASURE NO. 1351 EFFECTIVE DATE.</w:t>
      </w:r>
    </w:p>
    <w:p>
      <w:pPr>
        <w:ind w:left="0" w:right="0" w:firstLine="360"/>
        <w:jc w:val="both"/>
      </w:pPr>
      <w:r>
        <w:rPr/>
        <w:t xml:space="preserve">Section 2 of this act takes effect September 1, </w:t>
      </w:r>
      <w:r>
        <w:t>((</w:t>
      </w:r>
      <w:r>
        <w:rPr>
          <w:strike/>
        </w:rPr>
        <w:t xml:space="preserve">2018</w:t>
      </w:r>
      <w:r>
        <w:t>))</w:t>
      </w:r>
      <w:r>
        <w:rPr/>
        <w:t xml:space="preserve"> </w:t>
      </w:r>
      <w:r>
        <w:rPr>
          <w:u w:val="single"/>
        </w:rPr>
        <w:t xml:space="preserve">2017</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2 of this act takes effect September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FOR RCW 28A.150.261, COLA, AND BENEFITS PHASE-IN.</w:t>
      </w:r>
      <w:r>
        <w:t xml:space="preserve">  </w:t>
      </w:r>
      <w:r>
        <w:rPr/>
        <w:t xml:space="preserve">Sections 3 through 7 of this act take effect September 1, 2015.</w:t>
      </w:r>
    </w:p>
    <w:p/>
    <w:p>
      <w:pPr>
        <w:jc w:val="center"/>
      </w:pPr>
      <w:r>
        <w:rPr>
          <w:b/>
        </w:rPr>
        <w:t>--- END ---</w:t>
      </w:r>
    </w:p>
    <w:sectPr>
      <w:pgNumType w:start="1"/>
      <w:footerReference xmlns:r="http://schemas.openxmlformats.org/officeDocument/2006/relationships" r:id="R539e3297b99a4f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3914bd39654aa5" /><Relationship Type="http://schemas.openxmlformats.org/officeDocument/2006/relationships/footer" Target="/word/footer.xml" Id="R539e3297b99a4f64" /></Relationships>
</file>