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4aea11b51472e" /></Relationships>
</file>

<file path=word/document.xml><?xml version="1.0" encoding="utf-8"?>
<w:document xmlns:w="http://schemas.openxmlformats.org/wordprocessingml/2006/main">
  <w:body>
    <w:p>
      <w:r>
        <w:t>Z-0331.1</w:t>
      </w:r>
    </w:p>
    <w:p>
      <w:pPr>
        <w:jc w:val="center"/>
      </w:pPr>
      <w:r>
        <w:t>_______________________________________________</w:t>
      </w:r>
    </w:p>
    <w:p/>
    <w:p>
      <w:pPr>
        <w:jc w:val="center"/>
      </w:pPr>
      <w:r>
        <w:rPr>
          <w:b/>
        </w:rPr>
        <w:t>HOUSE BILL 2185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 Hunt; by request of Office of Financial Management</w:t>
      </w:r>
    </w:p>
    <w:p/>
    <w:p>
      <w:r>
        <w:rPr>
          <w:t xml:space="preserve">Read first time 02/27/15.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cancellation of the 2016 presidential primary; amending RCW 29A.56.020;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fourth Tuesday in May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August of the year before the year in which a president is to be nominated and elected.</w:t>
      </w:r>
    </w:p>
    <w:p>
      <w:pPr>
        <w:spacing w:before="0" w:after="0" w:line="408" w:lineRule="exact"/>
        <w:ind w:left="0" w:right="0" w:firstLine="576"/>
        <w:jc w:val="left"/>
      </w:pPr>
      <w:r>
        <w:rPr/>
        <w:t xml:space="preserve">(2) No later than the first day of September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first day of October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Pr>
        <w:spacing w:before="0" w:after="0" w:line="408" w:lineRule="exact"/>
        <w:ind w:left="0" w:right="0" w:firstLine="576"/>
        <w:jc w:val="left"/>
      </w:pPr>
      <w:r>
        <w:rPr>
          <w:u w:val="single"/>
        </w:rPr>
        <w:t xml:space="preserve">(5) No presidential primary may be held in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2017.</w:t>
      </w:r>
    </w:p>
    <w:p/>
    <w:p>
      <w:pPr>
        <w:jc w:val="center"/>
      </w:pPr>
      <w:r>
        <w:rPr>
          <w:b/>
        </w:rPr>
        <w:t>--- END ---</w:t>
      </w:r>
    </w:p>
    <w:sectPr>
      <w:pgNumType w:start="1"/>
      <w:footerReference xmlns:r="http://schemas.openxmlformats.org/officeDocument/2006/relationships" r:id="R722f69626c7a49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5aff09e03a4d07" /><Relationship Type="http://schemas.openxmlformats.org/officeDocument/2006/relationships/footer" Target="/word/footer.xml" Id="R722f69626c7a4921" /></Relationships>
</file>