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5328742f04de4" /></Relationships>
</file>

<file path=word/document.xml><?xml version="1.0" encoding="utf-8"?>
<w:document xmlns:w="http://schemas.openxmlformats.org/wordprocessingml/2006/main">
  <w:body>
    <w:p>
      <w:r>
        <w:t>H-2849.1</w:t>
      </w:r>
    </w:p>
    <w:p>
      <w:pPr>
        <w:jc w:val="center"/>
      </w:pPr>
      <w:r>
        <w:t>_______________________________________________</w:t>
      </w:r>
    </w:p>
    <w:p/>
    <w:p>
      <w:pPr>
        <w:jc w:val="center"/>
      </w:pPr>
      <w:r>
        <w:rPr>
          <w:b/>
        </w:rPr>
        <w:t>SUBSTITUTE HOUSE BILL 2156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Reykdal, Carlyle, and Tharinger)</w:t>
      </w:r>
    </w:p>
    <w:p/>
    <w:p>
      <w:r>
        <w:rPr>
          <w:t xml:space="preserve">READ FIRST TIME 06/18/15.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fiscal sustainability of cities and counties; amending RCW 42.56.100, 42.56.120, 42.56.550, 41.04.205, 41.05.011, 41.05.050, and 82.14.415; reenacting and amending RCW 42.56.080; adding a new section to chapter 35.21 RCW; adding a new section to chapter 35A.21 RCW; creating a new section;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Nuisance Abatement Assessments in Cities and Towns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special assessment authority is supplemental to any existing authority of a city or town to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special assessment authority is supplemental to any existing authority of a city or town to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Cost Recovery Mechanism for Public Records Sought for Commercial</w:t>
      </w:r>
    </w:p>
    <w:p>
      <w:pPr>
        <w:spacing w:before="0" w:after="0" w:line="408" w:lineRule="exact"/>
        <w:ind w:left="0" w:right="0" w:firstLine="576"/>
        <w:jc w:val="center"/>
      </w:pPr>
      <w:r>
        <w:rPr>
          <w:b/>
        </w:rPr>
        <w:t xml:space="preserve">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finds that public agencies must remain capable of adequately informing the public of their activities through timely disclosure of public records. However, public agencies are increasingly burdened by broad record requests from commercial entities, including data miners, whose purpose is to sell or resell the public records for a private profit. Public agencies expend taxpayer dollars to locate, assemble, redact, review, and provide the requested public records. Under existing law, except for copying and mailing costs, public agencies may not recover the true costs of providing this service. As a result, the taxpayers of this state effectively subsidize commercial requestors. Accordingly, it is the intent of the legislature to protect the public interest and prevent diversion of scarce agency resources by authorizing public agencies to recover their costs through charging a reasonable fee when records are requested for the purpose of sale or resale. It is the intent of the legislature to authorize agencies to establish such fees, without in any manner limiting public inspection of records or delaying public access to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u w:val="single"/>
        </w:rPr>
        <w:t xml:space="preserve">(1)</w:t>
      </w:r>
      <w:r>
        <w:rPr/>
        <w:t xml:space="preserve"> Public records </w:t>
      </w:r>
      <w:r>
        <w:t>((</w:t>
      </w:r>
      <w:r>
        <w:rPr>
          <w:strike/>
        </w:rPr>
        <w:t xml:space="preserve">shall</w:t>
      </w:r>
      <w:r>
        <w:t>))</w:t>
      </w:r>
      <w:r>
        <w:rPr/>
        <w:t xml:space="preserve"> </w:t>
      </w:r>
      <w:r>
        <w:rPr>
          <w:u w:val="single"/>
        </w:rPr>
        <w:t xml:space="preserve">must</w:t>
      </w:r>
      <w:r>
        <w:rPr/>
        <w:t xml:space="preserve"> be available for inspection and copying, and agencies </w:t>
      </w:r>
      <w:r>
        <w:t>((</w:t>
      </w:r>
      <w:r>
        <w:rPr>
          <w:strike/>
        </w:rPr>
        <w:t xml:space="preserve">shall</w:t>
      </w:r>
      <w:r>
        <w:t>))</w:t>
      </w:r>
      <w:r>
        <w:rPr/>
        <w:t xml:space="preserve"> </w:t>
      </w:r>
      <w:r>
        <w:rPr>
          <w:u w:val="single"/>
        </w:rPr>
        <w:t xml:space="preserve">must</w:t>
      </w:r>
      <w:r>
        <w:rPr/>
        <w:t xml:space="preserve">, upon request for identifiable public records, make them promptly available to any person </w:t>
      </w:r>
      <w:r>
        <w:t>((</w:t>
      </w:r>
      <w:r>
        <w:rPr>
          <w:strike/>
        </w:rPr>
        <w:t xml:space="preserve">including, if applicable,</w:t>
      </w:r>
      <w:r>
        <w:t>))</w:t>
      </w:r>
      <w:r>
        <w:rPr>
          <w:u w:val="single"/>
        </w:rPr>
        <w:t xml:space="preserve">. Public records may be made available</w:t>
      </w:r>
      <w:r>
        <w:rPr/>
        <w:t xml:space="preserve"> on a partial or installment basis as records that are part of a larger set of requested records are assembled or made ready for inspection or disclosure.</w:t>
      </w:r>
    </w:p>
    <w:p>
      <w:pPr>
        <w:spacing w:before="0" w:after="0" w:line="408" w:lineRule="exact"/>
        <w:ind w:left="0" w:right="0" w:firstLine="576"/>
        <w:jc w:val="left"/>
      </w:pPr>
      <w:r>
        <w:rPr>
          <w:u w:val="single"/>
        </w:rPr>
        <w:t xml:space="preserve">(2)</w:t>
      </w:r>
      <w:r>
        <w:rPr/>
        <w:t xml:space="preserve"> Agencies </w:t>
      </w:r>
      <w:r>
        <w:t>((</w:t>
      </w:r>
      <w:r>
        <w:rPr>
          <w:strike/>
        </w:rPr>
        <w:t xml:space="preserve">shall</w:t>
      </w:r>
      <w:r>
        <w:t>))</w:t>
      </w:r>
      <w:r>
        <w:rPr/>
        <w:t xml:space="preserve"> </w:t>
      </w:r>
      <w:r>
        <w:rPr>
          <w:u w:val="single"/>
        </w:rPr>
        <w:t xml:space="preserve">must</w:t>
      </w:r>
      <w:r>
        <w:rPr/>
        <w:t xml:space="preserve"> not deny a request for identifiable public records solely on the basis that the request is overbroad.</w:t>
      </w:r>
    </w:p>
    <w:p>
      <w:pPr>
        <w:spacing w:before="0" w:after="0" w:line="408" w:lineRule="exact"/>
        <w:ind w:left="0" w:right="0" w:firstLine="576"/>
        <w:jc w:val="left"/>
      </w:pPr>
      <w:r>
        <w:rPr>
          <w:u w:val="single"/>
        </w:rPr>
        <w:t xml:space="preserve">(3)</w:t>
      </w:r>
      <w:r>
        <w:rPr/>
        <w:t xml:space="preserve"> Agencies </w:t>
      </w:r>
      <w:r>
        <w:t>((</w:t>
      </w:r>
      <w:r>
        <w:rPr>
          <w:strike/>
        </w:rPr>
        <w:t xml:space="preserve">shall</w:t>
      </w:r>
      <w:r>
        <w:t>))</w:t>
      </w:r>
      <w:r>
        <w:rPr/>
        <w:t xml:space="preserve"> </w:t>
      </w:r>
      <w:r>
        <w:rPr>
          <w:u w:val="single"/>
        </w:rPr>
        <w:t xml:space="preserve">must</w:t>
      </w:r>
      <w:r>
        <w:rPr/>
        <w:t xml:space="preserve"> not distinguish among persons requesting records, and such persons </w:t>
      </w:r>
      <w:r>
        <w:t>((</w:t>
      </w:r>
      <w:r>
        <w:rPr>
          <w:strike/>
        </w:rPr>
        <w:t xml:space="preserve">shall not be</w:t>
      </w:r>
      <w:r>
        <w:t>))</w:t>
      </w:r>
      <w:r>
        <w:rPr/>
        <w:t xml:space="preserve"> </w:t>
      </w:r>
      <w:r>
        <w:rPr>
          <w:u w:val="single"/>
        </w:rPr>
        <w:t xml:space="preserve">are not</w:t>
      </w:r>
      <w:r>
        <w:rPr/>
        <w:t xml:space="preserve"> required to provide information as to the purpose for the request</w:t>
      </w:r>
      <w:r>
        <w:rPr>
          <w:u w:val="single"/>
        </w:rPr>
        <w:t xml:space="preserve">,</w:t>
      </w:r>
      <w:r>
        <w:rPr/>
        <w:t xml:space="preserve"> except to establish whether</w:t>
      </w:r>
      <w:r>
        <w:rPr>
          <w:u w:val="single"/>
        </w:rPr>
        <w:t xml:space="preserve">:</w:t>
      </w:r>
    </w:p>
    <w:p>
      <w:pPr>
        <w:spacing w:before="0" w:after="0" w:line="408" w:lineRule="exact"/>
        <w:ind w:left="0" w:right="0" w:firstLine="576"/>
        <w:jc w:val="left"/>
      </w:pPr>
      <w:r>
        <w:rPr>
          <w:u w:val="single"/>
        </w:rPr>
        <w:t xml:space="preserve">(a) I</w:t>
      </w:r>
      <w:r>
        <w:rPr/>
        <w:t xml:space="preserve">nspection and copying would violate RCW 42.56.070(9) or other statute which exempts or prohibits disclosure of specific information or records to certain persons</w:t>
      </w:r>
      <w:r>
        <w:rPr>
          <w:u w:val="single"/>
        </w:rPr>
        <w:t xml:space="preserve">; or</w:t>
      </w:r>
    </w:p>
    <w:p>
      <w:pPr>
        <w:spacing w:before="0" w:after="0" w:line="408" w:lineRule="exact"/>
        <w:ind w:left="0" w:right="0" w:firstLine="576"/>
        <w:jc w:val="left"/>
      </w:pPr>
      <w:r>
        <w:rPr>
          <w:u w:val="single"/>
        </w:rPr>
        <w:t xml:space="preserve">(b) The request is subject to the fee authorized under RCW 42.56.120(3)</w:t>
      </w:r>
      <w:r>
        <w:rPr/>
        <w:t xml:space="preserve">.</w:t>
      </w:r>
    </w:p>
    <w:p>
      <w:pPr>
        <w:spacing w:before="0" w:after="0" w:line="408" w:lineRule="exact"/>
        <w:ind w:left="0" w:right="0" w:firstLine="576"/>
        <w:jc w:val="left"/>
      </w:pPr>
      <w:r>
        <w:rPr>
          <w:u w:val="single"/>
        </w:rPr>
        <w:t xml:space="preserve">(4)</w:t>
      </w:r>
      <w:r>
        <w:rPr/>
        <w:t xml:space="preserve"> Agency facilities </w:t>
      </w:r>
      <w:r>
        <w:t>((</w:t>
      </w:r>
      <w:r>
        <w:rPr>
          <w:strike/>
        </w:rPr>
        <w:t xml:space="preserve">shall</w:t>
      </w:r>
      <w:r>
        <w:t>))</w:t>
      </w:r>
      <w:r>
        <w:rPr/>
        <w:t xml:space="preserve"> </w:t>
      </w:r>
      <w:r>
        <w:rPr>
          <w:u w:val="single"/>
        </w:rPr>
        <w:t xml:space="preserve">must</w:t>
      </w:r>
      <w:r>
        <w:rPr/>
        <w:t xml:space="preserve"> be made available to any person for the copying of public records except when and to the extent that this would unreasonably disrupt the operations of the agency. Agencies </w:t>
      </w:r>
      <w:r>
        <w:t>((</w:t>
      </w:r>
      <w:r>
        <w:rPr>
          <w:strike/>
        </w:rPr>
        <w:t xml:space="preserve">shall</w:t>
      </w:r>
      <w:r>
        <w:t>))</w:t>
      </w:r>
      <w:r>
        <w:rPr/>
        <w:t xml:space="preserve"> </w:t>
      </w:r>
      <w:r>
        <w:rPr>
          <w:u w:val="single"/>
        </w:rPr>
        <w:t xml:space="preserve">must</w:t>
      </w:r>
      <w:r>
        <w:rPr/>
        <w:t xml:space="preserve">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u w:val="single"/>
        </w:rPr>
        <w:t xml:space="preserve">(1)</w:t>
      </w:r>
      <w:r>
        <w:rPr/>
        <w:t xml:space="preserve"> Agencies shall adopt and enforce reasonable rules and regulations, and the office of the secretary of the senate and the office of the chief clerk of the house of representatives shall adopt reasonable procedures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 the office of the secretary of the senate, or the office of the chief clerk of the house of representatives. Such rules and regulations shall provide for the fullest assistance to inquirers and the most timely possible action on requests for information. Nothing in this section shall relieve agencies, the office of the secretary of the senate, and the office of the chief clerk of the house of representatives from honoring requests received by mail for copies of identifiable public records.</w:t>
      </w:r>
    </w:p>
    <w:p>
      <w:pPr>
        <w:spacing w:before="0" w:after="0" w:line="408" w:lineRule="exact"/>
        <w:ind w:left="0" w:right="0" w:firstLine="576"/>
        <w:jc w:val="left"/>
      </w:pPr>
      <w:r>
        <w:rPr>
          <w:u w:val="single"/>
        </w:rPr>
        <w:t xml:space="preserve">(2)</w:t>
      </w:r>
      <w:r>
        <w:rPr/>
        <w:t xml:space="preserve"> If a public record request is made at a time when such record exists but is scheduled for destruction in the near future, the agency, the office of the secretary of the senate, or the office of the chief clerk of the house of representatives shall retain possession of the record, and may not destroy or erase the record until the request is resolved.</w:t>
      </w:r>
    </w:p>
    <w:p>
      <w:pPr>
        <w:spacing w:before="0" w:after="0" w:line="408" w:lineRule="exact"/>
        <w:ind w:left="0" w:right="0" w:firstLine="576"/>
        <w:jc w:val="left"/>
      </w:pPr>
      <w:r>
        <w:rPr>
          <w:u w:val="single"/>
        </w:rPr>
        <w:t xml:space="preserve">(3) Local agencies may adopt reasonable regulations by ordinance or rule, upon notice and public comment, which establish a priority for promptly fulfilling noncommercial purpose requests before commercial purpose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 Except as provided in this section, n</w:t>
      </w:r>
      <w:r>
        <w:rPr/>
        <w:t xml:space="preserve">o fee </w:t>
      </w:r>
      <w:r>
        <w:t>((</w:t>
      </w:r>
      <w:r>
        <w:rPr>
          <w:strike/>
        </w:rPr>
        <w:t xml:space="preserve">shall</w:t>
      </w:r>
      <w:r>
        <w:t>))</w:t>
      </w:r>
      <w:r>
        <w:rPr/>
        <w:t xml:space="preserve"> </w:t>
      </w:r>
      <w:r>
        <w:rPr>
          <w:u w:val="single"/>
        </w:rPr>
        <w:t xml:space="preserve">may</w:t>
      </w:r>
      <w:r>
        <w:rPr/>
        <w:t xml:space="preserve"> be charged </w:t>
      </w:r>
      <w:r>
        <w:t>((</w:t>
      </w:r>
      <w:r>
        <w:rPr>
          <w:strike/>
        </w:rPr>
        <w:t xml:space="preserve">for the inspection of public records. No fee shall be charged</w:t>
      </w:r>
      <w:r>
        <w:t>))</w:t>
      </w:r>
      <w:r>
        <w:rPr/>
        <w:t xml:space="preserve"> for locating</w:t>
      </w:r>
      <w:r>
        <w:rPr>
          <w:u w:val="single"/>
        </w:rPr>
        <w:t xml:space="preserve">, disclosing the existence of, producing, or inspecting</w:t>
      </w:r>
      <w:r>
        <w:rPr/>
        <w:t xml:space="preserve"> public documents </w:t>
      </w:r>
      <w:r>
        <w:t>((</w:t>
      </w:r>
      <w:r>
        <w:rPr>
          <w:strike/>
        </w:rPr>
        <w:t xml:space="preserve">and</w:t>
      </w:r>
      <w:r>
        <w:t>))</w:t>
      </w:r>
      <w:r>
        <w:rPr/>
        <w:t xml:space="preserve"> </w:t>
      </w:r>
      <w:r>
        <w:rPr>
          <w:u w:val="single"/>
        </w:rPr>
        <w:t xml:space="preserve">or for</w:t>
      </w:r>
      <w:r>
        <w:rPr/>
        <w:t xml:space="preserve"> making them available for copying.</w:t>
      </w:r>
    </w:p>
    <w:p>
      <w:pPr>
        <w:spacing w:before="0" w:after="0" w:line="408" w:lineRule="exact"/>
        <w:ind w:left="0" w:right="0" w:firstLine="576"/>
        <w:jc w:val="left"/>
      </w:pPr>
      <w:r>
        <w:rPr>
          <w:u w:val="single"/>
        </w:rPr>
        <w:t xml:space="preserve">(2)</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w:t>
      </w:r>
      <w:r>
        <w:t>((</w:t>
      </w:r>
      <w:r>
        <w:rPr>
          <w:strike/>
        </w:rPr>
        <w:t xml:space="preserve">shall</w:t>
      </w:r>
      <w:r>
        <w:t>))</w:t>
      </w:r>
      <w:r>
        <w:rPr/>
        <w:t xml:space="preserve"> </w:t>
      </w:r>
      <w:r>
        <w:rPr>
          <w:u w:val="single"/>
        </w:rPr>
        <w:t xml:space="preserve">may</w:t>
      </w:r>
      <w:r>
        <w:rPr/>
        <w:t xml:space="preserve"> not exceed the amount necessary to reimburse the agency, the office of the secretary of the senate, or the office of the chief clerk of the house of representatives for its actual costs directly incident to such copying. Agency charges for photocopies </w:t>
      </w:r>
      <w:r>
        <w:t>((</w:t>
      </w:r>
      <w:r>
        <w:rPr>
          <w:strike/>
        </w:rPr>
        <w:t xml:space="preserve">shall</w:t>
      </w:r>
      <w:r>
        <w:t>))</w:t>
      </w:r>
      <w:r>
        <w:rPr/>
        <w:t xml:space="preserve"> </w:t>
      </w:r>
      <w:r>
        <w:rPr>
          <w:u w:val="single"/>
        </w:rPr>
        <w:t xml:space="preserve">must</w:t>
      </w:r>
      <w:r>
        <w:rPr/>
        <w:t xml:space="preserve">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w:t>
      </w:r>
      <w:r>
        <w:t>((</w:t>
      </w:r>
      <w:r>
        <w:rPr>
          <w:strike/>
        </w:rPr>
        <w:t xml:space="preserve">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r>
        <w:t>))</w:t>
      </w:r>
    </w:p>
    <w:p>
      <w:pPr>
        <w:spacing w:before="0" w:after="0" w:line="408" w:lineRule="exact"/>
        <w:ind w:left="0" w:right="0" w:firstLine="576"/>
        <w:jc w:val="left"/>
      </w:pPr>
      <w:r>
        <w:rPr>
          <w:u w:val="single"/>
        </w:rPr>
        <w:t xml:space="preserve">(3) A local agency may charge a fee to recover its actual costs in responding to a request made for a commercial purpose. Prior to charging this fee, a local agency must develop and adopt, with notice and public hearing, a fee schedule. The agency must publish the fee schedule along with a summary of the methodology or rationale by which the fees were established. The fee may be a flat fee, a fee per record, or other type of fee, but must not exceed a reasonable estimate of the actual cost to provide the records and must be based upon the least costly method available to the local agency. Actual costs may include, but are not limited to, the cost of locating, producing, inspecting, redacting, and copying the records for the requestor.</w:t>
      </w:r>
    </w:p>
    <w:p>
      <w:pPr>
        <w:spacing w:before="0" w:after="0" w:line="408" w:lineRule="exact"/>
        <w:ind w:left="0" w:right="0" w:firstLine="576"/>
        <w:jc w:val="left"/>
      </w:pPr>
      <w:r>
        <w:rPr>
          <w:u w:val="single"/>
        </w:rPr>
        <w:t xml:space="preserve">(4) A local agency may require a requestor to sign a declaration, pursuant to RCW 9A.72.085, under penalty of perjury attesting whether or not the purpose of the request is for a commercial purpose. A person or entity intentionally misrepresenting the purpose of a request that is made for a commercial purpose is liable for a civil penalty at least equivalent to what the agency would have charged for the records. Penalties under this section are in addition to any other civil or criminal penalties and remedies available under any other law of this state.</w:t>
      </w:r>
    </w:p>
    <w:p>
      <w:pPr>
        <w:spacing w:before="0" w:after="0" w:line="408" w:lineRule="exact"/>
        <w:ind w:left="0" w:right="0" w:firstLine="576"/>
        <w:jc w:val="left"/>
      </w:pPr>
      <w:r>
        <w:rPr>
          <w:u w:val="single"/>
        </w:rPr>
        <w:t xml:space="preserve">(5) A local agency may enter into an agreement with a requestor to fulfill regular periodic records requests. Such an agreement may include a provision for an alternative fee arrangement from the fee authorized in subsection (3) of this section.</w:t>
      </w:r>
    </w:p>
    <w:p>
      <w:pPr>
        <w:spacing w:before="0" w:after="0" w:line="408" w:lineRule="exact"/>
        <w:ind w:left="0" w:right="0" w:firstLine="576"/>
        <w:jc w:val="left"/>
      </w:pPr>
      <w:r>
        <w:rPr>
          <w:u w:val="single"/>
        </w:rPr>
        <w:t xml:space="preserve">(6) If a fee is allowed under this section, an agency may require a deposit in an amount not to exceed ten percent of the estimated cost of providing copies for a request that is able to be fulfilled in one transaction. If an agency makes a request available on a partial or installment basis, the agency may charge ten percent as a deposit for each installment of the request and require payment for the remaining balance of the installment when it is provided. If an installment of a records request is not claimed, reviewed, or paid for, the agency is not obligated to fulfill the remainder of the request nor can it collect payment for the remainder of the request that is unfulfilled.</w:t>
      </w:r>
    </w:p>
    <w:p>
      <w:pPr>
        <w:spacing w:before="0" w:after="0" w:line="408" w:lineRule="exact"/>
        <w:ind w:left="0" w:right="0" w:firstLine="576"/>
        <w:jc w:val="left"/>
      </w:pPr>
      <w:r>
        <w:rPr>
          <w:u w:val="single"/>
        </w:rPr>
        <w:t xml:space="preserve">(7) For purposes of this section:</w:t>
      </w:r>
    </w:p>
    <w:p>
      <w:pPr>
        <w:spacing w:before="0" w:after="0" w:line="408" w:lineRule="exact"/>
        <w:ind w:left="0" w:right="0" w:firstLine="576"/>
        <w:jc w:val="left"/>
      </w:pPr>
      <w:r>
        <w:rPr>
          <w:u w:val="single"/>
        </w:rPr>
        <w:t xml:space="preserve">(a) A "commercial purpose" means the use of a public record, or part of a record, requested by or on behalf of a for-profit business, enterprise, or entity:</w:t>
      </w:r>
    </w:p>
    <w:p>
      <w:pPr>
        <w:spacing w:before="0" w:after="0" w:line="408" w:lineRule="exact"/>
        <w:ind w:left="0" w:right="0" w:firstLine="576"/>
        <w:jc w:val="left"/>
      </w:pPr>
      <w:r>
        <w:rPr>
          <w:u w:val="single"/>
        </w:rPr>
        <w:t xml:space="preserve">(i) For the purpose of sale or resale of the record for profit; or</w:t>
      </w:r>
    </w:p>
    <w:p>
      <w:pPr>
        <w:spacing w:before="0" w:after="0" w:line="408" w:lineRule="exact"/>
        <w:ind w:left="0" w:right="0" w:firstLine="576"/>
        <w:jc w:val="left"/>
      </w:pPr>
      <w:r>
        <w:rPr>
          <w:u w:val="single"/>
        </w:rPr>
        <w:t xml:space="preserve">(ii) For obtaining or compiling information derived from the record for the purpose of sale or resale for profit, or facilitating a profit, or increasing business opportunities from the use of such information.</w:t>
      </w:r>
    </w:p>
    <w:p>
      <w:pPr>
        <w:spacing w:before="0" w:after="0" w:line="408" w:lineRule="exact"/>
        <w:ind w:left="0" w:right="0" w:firstLine="576"/>
        <w:jc w:val="left"/>
      </w:pPr>
      <w:r>
        <w:rPr>
          <w:u w:val="single"/>
        </w:rPr>
        <w:t xml:space="preserve">(b) A "commercial purpose" does not mean the use of a public record or part of a record for publication by any print, electronic, or other transmitted news media outlet used to broadly disseminate information regarding matters of public interest or for use in any judicial or quasi-judicial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w:t>
      </w:r>
      <w:r>
        <w:t>((</w:t>
      </w:r>
      <w:r>
        <w:rPr>
          <w:strike/>
        </w:rPr>
        <w:t xml:space="preserve">shall be</w:t>
      </w:r>
      <w:r>
        <w:t>))</w:t>
      </w:r>
      <w:r>
        <w:rPr/>
        <w:t xml:space="preserve"> </w:t>
      </w:r>
      <w:r>
        <w:rPr>
          <w:u w:val="single"/>
        </w:rPr>
        <w:t xml:space="preserve">is</w:t>
      </w:r>
      <w:r>
        <w:rPr/>
        <w:t xml:space="preserv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w:t>
      </w:r>
      <w:r>
        <w:t>((</w:t>
      </w:r>
      <w:r>
        <w:rPr>
          <w:strike/>
        </w:rPr>
        <w:t xml:space="preserve">shall be</w:t>
      </w:r>
      <w:r>
        <w:t>))</w:t>
      </w:r>
      <w:r>
        <w:rPr/>
        <w:t xml:space="preserve"> </w:t>
      </w:r>
      <w:r>
        <w:rPr>
          <w:u w:val="single"/>
        </w:rPr>
        <w:t xml:space="preserve">is</w:t>
      </w:r>
      <w:r>
        <w:rPr/>
        <w:t xml:space="preserve"> on the agency to show that the estimate it provided is reasonable.</w:t>
      </w:r>
    </w:p>
    <w:p>
      <w:pPr>
        <w:spacing w:before="0" w:after="0" w:line="408" w:lineRule="exact"/>
        <w:ind w:left="0" w:right="0" w:firstLine="576"/>
        <w:jc w:val="left"/>
      </w:pPr>
      <w:r>
        <w:rPr/>
        <w:t xml:space="preserve">(3) </w:t>
      </w:r>
      <w:r>
        <w:rPr>
          <w:u w:val="single"/>
        </w:rPr>
        <w:t xml:space="preserve">Upon the motion of any person who believes that an agency has required payment of a cost recovery fee that is not consistent with the fee schedule authorized in RCW 42.56.120(3), or has applied a fee for a request that is exempt under RCW 42.56.120(3), the superior court in the county in which a record is maintained may require the responsible agency to show by a preponderance of the evidence that the request was primarily for a commercial purpose and that no exemption is applicable, or that the fee schedule adopted by the local agency was correctly applied.</w:t>
      </w:r>
    </w:p>
    <w:p>
      <w:pPr>
        <w:spacing w:before="0" w:after="0" w:line="408" w:lineRule="exact"/>
        <w:ind w:left="0" w:right="0" w:firstLine="576"/>
        <w:jc w:val="left"/>
      </w:pPr>
      <w:r>
        <w:rPr>
          <w:u w:val="single"/>
        </w:rPr>
        <w:t xml:space="preserve">(4)</w:t>
      </w:r>
      <w:r>
        <w:rPr/>
        <w:t xml:space="preserve"> Judicial review of all agency actions taken or challenged under RCW 42.56.030 through 42.56.520 </w:t>
      </w:r>
      <w:r>
        <w:t>((</w:t>
      </w:r>
      <w:r>
        <w:rPr>
          <w:strike/>
        </w:rPr>
        <w:t xml:space="preserve">shall</w:t>
      </w:r>
      <w:r>
        <w:t>))</w:t>
      </w:r>
      <w:r>
        <w:rPr/>
        <w:t xml:space="preserve"> </w:t>
      </w:r>
      <w:r>
        <w:rPr>
          <w:u w:val="single"/>
        </w:rPr>
        <w:t xml:space="preserve">must</w:t>
      </w:r>
      <w:r>
        <w:rPr/>
        <w:t xml:space="preserve"> be de novo. Courts </w:t>
      </w:r>
      <w:r>
        <w:t>((</w:t>
      </w:r>
      <w:r>
        <w:rPr>
          <w:strike/>
        </w:rPr>
        <w:t xml:space="preserve">shall</w:t>
      </w:r>
      <w:r>
        <w:t>))</w:t>
      </w:r>
      <w:r>
        <w:rPr/>
        <w:t xml:space="preserve"> </w:t>
      </w:r>
      <w:r>
        <w:rPr>
          <w:u w:val="single"/>
        </w:rPr>
        <w:t xml:space="preserve">must</w:t>
      </w:r>
      <w:r>
        <w:rPr/>
        <w:t xml:space="preserve">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person who prevails against an agency in any action in the courts seeking the right to inspect or copy any public record or the right to receive a response to a public record request within a reasonable amount of time </w:t>
      </w:r>
      <w:r>
        <w:t>((</w:t>
      </w:r>
      <w:r>
        <w:rPr>
          <w:strike/>
        </w:rPr>
        <w:t xml:space="preserve">shall</w:t>
      </w:r>
      <w:r>
        <w:t>))</w:t>
      </w:r>
      <w:r>
        <w:rPr/>
        <w:t xml:space="preserve"> </w:t>
      </w:r>
      <w:r>
        <w:rPr>
          <w:u w:val="single"/>
        </w:rPr>
        <w:t xml:space="preserve">must</w:t>
      </w:r>
      <w:r>
        <w:rPr/>
        <w:t xml:space="preserve"> be awarded all costs, including reasonable attorney fees, incurred in connection with such legal action. In addition, it </w:t>
      </w:r>
      <w:r>
        <w:t>((</w:t>
      </w:r>
      <w:r>
        <w:rPr>
          <w:strike/>
        </w:rPr>
        <w:t xml:space="preserve">shall be</w:t>
      </w:r>
      <w:r>
        <w:t>))</w:t>
      </w:r>
      <w:r>
        <w:rPr/>
        <w:t xml:space="preserve"> </w:t>
      </w:r>
      <w:r>
        <w:rPr>
          <w:u w:val="single"/>
        </w:rPr>
        <w:t xml:space="preserve">is</w:t>
      </w:r>
      <w:r>
        <w:rPr/>
        <w:t xml:space="preserv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actions under this section against counties, the venue provisions of RCW 36.01.050 apply.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Actions under this section must be filed within one year of the agency's claim of exemption or the last production of a record on a partial or installment basis.</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Health Coverage Purchased by Political Subdivisions through the Public Employees' Benefits Board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w:t>
      </w:r>
      <w:r>
        <w:t>((</w:t>
      </w:r>
      <w:r>
        <w:rPr>
          <w:strike/>
        </w:rPr>
        <w:t xml:space="preserve">shall be</w:t>
      </w:r>
      <w:r>
        <w:t>))</w:t>
      </w:r>
      <w:r>
        <w:rPr/>
        <w:t xml:space="preserve"> </w:t>
      </w:r>
      <w:r>
        <w:rPr>
          <w:u w:val="single"/>
        </w:rPr>
        <w:t xml:space="preserve">are</w:t>
      </w:r>
      <w:r>
        <w:rPr/>
        <w:t xml:space="preserv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w:t>
      </w:r>
      <w:r>
        <w:t>((</w:t>
      </w:r>
      <w:r>
        <w:rPr>
          <w:strike/>
        </w:rPr>
        <w:t xml:space="preserve">shall be</w:t>
      </w:r>
      <w:r>
        <w:t>))</w:t>
      </w:r>
      <w:r>
        <w:rPr/>
        <w:t xml:space="preserve"> </w:t>
      </w:r>
      <w:r>
        <w:rPr>
          <w:u w:val="single"/>
        </w:rPr>
        <w:t xml:space="preserve">are</w:t>
      </w:r>
      <w:r>
        <w:rPr/>
        <w:t xml:space="preserv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w:t>
      </w:r>
      <w:r>
        <w:rPr>
          <w:u w:val="single"/>
        </w:rPr>
        <w:t xml:space="preserve">(a)</w:t>
      </w:r>
      <w:r>
        <w:rPr/>
        <w:t xml:space="preserve"> When the legislative authority of a county, municipality, or other political subdivision determines to so transfer, the state health care authority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Establish the conditions for participation;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u w:val="single"/>
        </w:rPr>
        <w:t xml:space="preserve">(b)</w:t>
      </w:r>
      <w:r>
        <w:rPr/>
        <w:t xml:space="preserve"> Approval of the application by the state health care authority </w:t>
      </w:r>
      <w:r>
        <w:t>((</w:t>
      </w:r>
      <w:r>
        <w:rPr>
          <w:strike/>
        </w:rPr>
        <w:t xml:space="preserve">shall</w:t>
      </w:r>
      <w:r>
        <w:t>))</w:t>
      </w:r>
      <w:r>
        <w:rPr/>
        <w:t xml:space="preserve"> effect</w:t>
      </w:r>
      <w:r>
        <w:rPr>
          <w:u w:val="single"/>
        </w:rPr>
        <w:t xml:space="preserve">s</w:t>
      </w:r>
      <w:r>
        <w:rPr/>
        <w:t xml:space="preserve">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0" w:after="0" w:line="408" w:lineRule="exact"/>
        <w:ind w:left="0" w:right="0" w:firstLine="576"/>
        <w:jc w:val="left"/>
      </w:pPr>
      <w:r>
        <w:rPr/>
        <w:t xml:space="preserve">(23)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w:t>
      </w:r>
      <w:r>
        <w:t>((</w:t>
      </w:r>
      <w:r>
        <w:rPr>
          <w:strike/>
        </w:rPr>
        <w:t xml:space="preserve">shall</w:t>
      </w:r>
      <w:r>
        <w:t>))</w:t>
      </w:r>
      <w:r>
        <w:rPr/>
        <w:t xml:space="preserve"> </w:t>
      </w:r>
      <w:r>
        <w:rPr>
          <w:u w:val="single"/>
        </w:rPr>
        <w:t xml:space="preserve">must</w:t>
      </w:r>
      <w:r>
        <w:rPr/>
        <w:t xml:space="preserve"> provide contributions to insurance and health care plans for its employees and their dependents, the content of such plans to be determined by the authority. Contributions, paid by the county, the municipality, other political subdivision, or a tribal government for their employees, </w:t>
      </w:r>
      <w:r>
        <w:t>((</w:t>
      </w:r>
      <w:r>
        <w:rPr>
          <w:strike/>
        </w:rPr>
        <w:t xml:space="preserve">shall</w:t>
      </w:r>
      <w:r>
        <w:t>))</w:t>
      </w:r>
      <w:r>
        <w:rPr/>
        <w:t xml:space="preserve"> </w:t>
      </w:r>
      <w:r>
        <w:rPr>
          <w:u w:val="single"/>
        </w:rPr>
        <w:t xml:space="preserve">must</w:t>
      </w:r>
      <w:r>
        <w:rPr/>
        <w:t xml:space="preserve">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If the authority at any time determines that the participation of a county, municipal, other political subdivision, or a tribal government covered under this chapter adversely impacts insurance rates for state employees, the authority </w:t>
      </w:r>
      <w:r>
        <w:t>((</w:t>
      </w:r>
      <w:r>
        <w:rPr>
          <w:strike/>
        </w:rPr>
        <w:t xml:space="preserve">shall implement limitations on the participation of additional</w:t>
      </w:r>
      <w:r>
        <w:t>))</w:t>
      </w:r>
      <w:r>
        <w:rPr/>
        <w:t xml:space="preserve"> </w:t>
      </w:r>
      <w:r>
        <w:rPr>
          <w:u w:val="single"/>
        </w:rPr>
        <w:t xml:space="preserve">may develop an employer-specific charge for each</w:t>
      </w:r>
      <w:r>
        <w:rPr/>
        <w:t xml:space="preserve"> county, municipal, other political subdivision</w:t>
      </w:r>
      <w:r>
        <w:t>((</w:t>
      </w:r>
      <w:r>
        <w:rPr>
          <w:strike/>
        </w:rPr>
        <w:t xml:space="preserve">s</w:t>
      </w:r>
      <w:r>
        <w:t>))</w:t>
      </w:r>
      <w:r>
        <w:rPr/>
        <w:t xml:space="preserve">, or </w:t>
      </w:r>
      <w:r>
        <w:t>((</w:t>
      </w:r>
      <w:r>
        <w:rPr>
          <w:strike/>
        </w:rPr>
        <w:t xml:space="preserve">a</w:t>
      </w:r>
      <w:r>
        <w:t>))</w:t>
      </w:r>
      <w:r>
        <w:rPr/>
        <w:t xml:space="preserve"> tribal government </w:t>
      </w:r>
      <w:r>
        <w:rPr>
          <w:u w:val="single"/>
        </w:rPr>
        <w:t xml:space="preserve">that offsets a significant increase in insurance rates for state employees that could be caused by the participation of that employer</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w:t>
      </w:r>
      <w:r>
        <w:t>((</w:t>
      </w:r>
      <w:r>
        <w:rPr>
          <w:strike/>
        </w:rPr>
        <w:t xml:space="preserve">shall</w:t>
      </w:r>
      <w:r>
        <w:t>))</w:t>
      </w:r>
      <w:r>
        <w:rPr/>
        <w:t xml:space="preserve"> </w:t>
      </w:r>
      <w:r>
        <w:rPr>
          <w:u w:val="single"/>
        </w:rPr>
        <w:t xml:space="preserve">must</w:t>
      </w:r>
      <w:r>
        <w:rPr/>
        <w:t xml:space="preserve"> be set by the authority, subject to the approval of the governor for availability of funds as specifically appropriated by the legislature for that purpose. Insurance and health care contributions for ferry employees </w:t>
      </w:r>
      <w:r>
        <w:t>((</w:t>
      </w:r>
      <w:r>
        <w:rPr>
          <w:strike/>
        </w:rPr>
        <w:t xml:space="preserve">shall be</w:t>
      </w:r>
      <w:r>
        <w:t>))</w:t>
      </w:r>
      <w:r>
        <w:rPr/>
        <w:t xml:space="preserve"> </w:t>
      </w:r>
      <w:r>
        <w:rPr>
          <w:u w:val="single"/>
        </w:rPr>
        <w:t xml:space="preserve">are</w:t>
      </w:r>
      <w:r>
        <w:rPr/>
        <w:t xml:space="preserve"> governed by RCW 47.64.270.</w:t>
      </w:r>
    </w:p>
    <w:p>
      <w:pPr>
        <w:spacing w:before="0" w:after="0" w:line="408" w:lineRule="exact"/>
        <w:ind w:left="0" w:right="0" w:firstLine="576"/>
        <w:jc w:val="left"/>
      </w:pPr>
      <w:r>
        <w:rPr/>
        <w:t xml:space="preserve">(4)(a) The authority </w:t>
      </w:r>
      <w:r>
        <w:t>((</w:t>
      </w:r>
      <w:r>
        <w:rPr>
          <w:strike/>
        </w:rPr>
        <w:t xml:space="preserve">shall</w:t>
      </w:r>
      <w:r>
        <w:t>))</w:t>
      </w:r>
      <w:r>
        <w:rPr/>
        <w:t xml:space="preserve"> </w:t>
      </w:r>
      <w:r>
        <w:rPr>
          <w:u w:val="single"/>
        </w:rPr>
        <w:t xml:space="preserve">must</w:t>
      </w:r>
      <w:r>
        <w:rPr/>
        <w:t xml:space="preserve">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the authority </w:t>
      </w:r>
      <w:r>
        <w:t>((</w:t>
      </w:r>
      <w:r>
        <w:rPr>
          <w:strike/>
        </w:rPr>
        <w:t xml:space="preserve">shall</w:t>
      </w:r>
      <w:r>
        <w:t>))</w:t>
      </w:r>
      <w:r>
        <w:rPr/>
        <w:t xml:space="preserve"> </w:t>
      </w:r>
      <w:r>
        <w:rPr>
          <w:u w:val="single"/>
        </w:rPr>
        <w:t xml:space="preserve">must</w:t>
      </w:r>
      <w:r>
        <w:rPr/>
        <w:t xml:space="preserve">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w:t>
      </w:r>
      <w:r>
        <w:t>((</w:t>
      </w:r>
      <w:r>
        <w:rPr>
          <w:strike/>
        </w:rPr>
        <w:t xml:space="preserve">shall</w:t>
      </w:r>
      <w:r>
        <w:t>))</w:t>
      </w:r>
      <w:r>
        <w:rPr/>
        <w:t xml:space="preserve"> </w:t>
      </w:r>
      <w:r>
        <w:rPr>
          <w:u w:val="single"/>
        </w:rPr>
        <w:t xml:space="preserve">must</w:t>
      </w:r>
      <w:r>
        <w:rPr/>
        <w:t xml:space="preserve">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w:t>
      </w:r>
      <w:r>
        <w:t>((</w:t>
      </w:r>
      <w:r>
        <w:rPr>
          <w:strike/>
        </w:rPr>
        <w:t xml:space="preserve">shall</w:t>
      </w:r>
      <w:r>
        <w:t>))</w:t>
      </w:r>
      <w:r>
        <w:rPr/>
        <w:t xml:space="preserve"> </w:t>
      </w:r>
      <w:r>
        <w:rPr>
          <w:u w:val="single"/>
        </w:rPr>
        <w:t xml:space="preserve">must</w:t>
      </w:r>
      <w:r>
        <w:rPr/>
        <w:t xml:space="preserve"> transmit a recommendation for the amount of the employer contribution to the governor and the director of financial management for inclusion in the proposed budgets submitted to the legislature.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Sales and Use Tax for Cities to Offset Municipal Service Costs to Newly Annexed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w:t>
      </w:r>
      <w:r>
        <w:t>))</w:t>
      </w:r>
      <w:r>
        <w:rPr/>
        <w:t xml:space="preserve"> </w:t>
      </w:r>
      <w:r>
        <w:rPr>
          <w:u w:val="single"/>
        </w:rPr>
        <w:t xml:space="preserve">eight</w:t>
      </w:r>
      <w:r>
        <w:rPr/>
        <w:t xml:space="preserve"> million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w:t>
      </w:r>
      <w:r>
        <w:t>((</w:t>
      </w:r>
      <w:r>
        <w:rPr>
          <w:strike/>
        </w:rPr>
        <w:t xml:space="preserve">five</w:t>
      </w:r>
      <w:r>
        <w:t>))</w:t>
      </w:r>
      <w:r>
        <w:rPr/>
        <w:t xml:space="preserve"> </w:t>
      </w:r>
      <w:r>
        <w:rPr>
          <w:u w:val="single"/>
        </w:rPr>
        <w:t xml:space="preserve">eight</w:t>
      </w:r>
      <w:r>
        <w:rPr/>
        <w:t xml:space="preserve"> million dollars for the fiscal year. </w:t>
      </w:r>
      <w:r>
        <w:rPr>
          <w:u w:val="single"/>
        </w:rPr>
        <w:t xml:space="preserve">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c84d8fd5f65948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eba3f28304745" /><Relationship Type="http://schemas.openxmlformats.org/officeDocument/2006/relationships/footer" Target="/word/footer.xml" Id="Rc84d8fd5f659480c" /></Relationships>
</file>