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dbbc88daa94856" /></Relationships>
</file>

<file path=word/document.xml><?xml version="1.0" encoding="utf-8"?>
<w:document xmlns:w="http://schemas.openxmlformats.org/wordprocessingml/2006/main">
  <w:body>
    <w:p>
      <w:r>
        <w:t>H-1966.2</w:t>
      </w:r>
    </w:p>
    <w:p>
      <w:pPr>
        <w:jc w:val="center"/>
      </w:pPr>
      <w:r>
        <w:t>_______________________________________________</w:t>
      </w:r>
    </w:p>
    <w:p/>
    <w:p>
      <w:pPr>
        <w:jc w:val="center"/>
      </w:pPr>
      <w:r>
        <w:rPr>
          <w:b/>
        </w:rPr>
        <w:t>SUBSTITUTE HOUSE BILL 2133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addresses of certain child care providers from the public records act;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r>
        <w:rPr>
          <w:u w:val="single"/>
        </w:rPr>
        <w:t xml:space="preserve">, including the street address of a licensed family day care provider's home and the home address of a child care provider exempt from licensing under chapter 43.215 RCW</w:t>
      </w:r>
      <w:r>
        <w:rPr/>
        <w:t xml:space="preserve">;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
      <w:pPr>
        <w:jc w:val="center"/>
      </w:pPr>
      <w:r>
        <w:rPr>
          <w:b/>
        </w:rPr>
        <w:t>--- END ---</w:t>
      </w:r>
    </w:p>
    <w:sectPr>
      <w:pgNumType w:start="1"/>
      <w:footerReference xmlns:r="http://schemas.openxmlformats.org/officeDocument/2006/relationships" r:id="Rf3ad786b4b554f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2e262e7284f1f" /><Relationship Type="http://schemas.openxmlformats.org/officeDocument/2006/relationships/footer" Target="/word/footer.xml" Id="Rf3ad786b4b554f50" /></Relationships>
</file>