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4e061701b2489c" /></Relationships>
</file>

<file path=word/document.xml><?xml version="1.0" encoding="utf-8"?>
<w:document xmlns:w="http://schemas.openxmlformats.org/wordprocessingml/2006/main">
  <w:body>
    <w:p>
      <w:r>
        <w:t>H-1668.1</w:t>
      </w:r>
    </w:p>
    <w:p>
      <w:pPr>
        <w:jc w:val="center"/>
      </w:pPr>
      <w:r>
        <w:t>_______________________________________________</w:t>
      </w:r>
    </w:p>
    <w:p/>
    <w:p>
      <w:pPr>
        <w:jc w:val="center"/>
      </w:pPr>
      <w:r>
        <w:rPr>
          <w:b/>
        </w:rPr>
        <w:t>HOUSE BILL 2105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Takko and Rodne</w:t>
      </w:r>
    </w:p>
    <w:p/>
    <w:p>
      <w:r>
        <w:rPr>
          <w:t xml:space="preserve">Read first time 02/12/15.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processing of vehicle certificates of title and registrations; amending RCW 46.68.400; and adding a new section to chapter 46.01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At the request of an organization representing vehicle dealers licensed under chapter 46.70 RCW, the director must authorize the organization to process and issue vehicle certificates of title and registrations.</w:t>
      </w:r>
    </w:p>
    <w:p>
      <w:pPr>
        <w:spacing w:before="0" w:after="0" w:line="408" w:lineRule="exact"/>
        <w:ind w:left="0" w:right="0" w:firstLine="576"/>
        <w:jc w:val="left"/>
      </w:pPr>
      <w:r>
        <w:rPr/>
        <w:t xml:space="preserve">(2) An organization as authorized under this section may only process transactions as described in subsection (1) of this section that are related to the buying and selling of a vehicle at a licensed vehicle dealer's place of business.</w:t>
      </w:r>
    </w:p>
    <w:p>
      <w:pPr>
        <w:spacing w:before="0" w:after="0" w:line="408" w:lineRule="exact"/>
        <w:ind w:left="0" w:right="0" w:firstLine="576"/>
        <w:jc w:val="left"/>
      </w:pPr>
      <w:r>
        <w:rPr/>
        <w:t xml:space="preserve">(3) An organization as authorized under this section must act under the direction and supervision of the director.</w:t>
      </w:r>
    </w:p>
    <w:p>
      <w:pPr>
        <w:spacing w:before="0" w:after="0" w:line="408" w:lineRule="exact"/>
        <w:ind w:left="0" w:right="0" w:firstLine="576"/>
        <w:jc w:val="left"/>
      </w:pPr>
      <w:r>
        <w:rPr/>
        <w:t xml:space="preserve">(4) The department must provide all access and assistance necessary to permit the development and maintenance of an electronic interface to allow for paperless submittals between systems used by vehicle dealers and systems used by the department.</w:t>
      </w:r>
    </w:p>
    <w:p>
      <w:pPr>
        <w:spacing w:before="0" w:after="0" w:line="408" w:lineRule="exact"/>
        <w:ind w:left="0" w:right="0" w:firstLine="576"/>
        <w:jc w:val="left"/>
      </w:pPr>
      <w:r>
        <w:rPr/>
        <w:t xml:space="preserve">(5) An organization as authorized under this section must collect and retain the service fee under RCW 46.17.040 or may designate a third party to perform all services as authorized in this section and to collect and retain the service fee under RCW 46.17.040.</w:t>
      </w:r>
    </w:p>
    <w:p>
      <w:pPr>
        <w:spacing w:before="0" w:after="0" w:line="408" w:lineRule="exact"/>
        <w:ind w:left="0" w:right="0" w:firstLine="576"/>
        <w:jc w:val="left"/>
      </w:pPr>
      <w:r>
        <w:rPr/>
        <w:t xml:space="preserve">(6) The filing fee under RCW 46.17.005 collected on transactions processed under this section must be distributed under RCW 46.68.400(1).</w:t>
      </w:r>
    </w:p>
    <w:p>
      <w:pPr>
        <w:spacing w:before="0" w:after="0" w:line="408" w:lineRule="exact"/>
        <w:ind w:left="0" w:right="0" w:firstLine="576"/>
        <w:jc w:val="left"/>
      </w:pPr>
      <w:r>
        <w:rPr/>
        <w:t xml:space="preserve">(7) An organization as authorized under this section or its designee is considered an agent of the department under RCW 46.12.530 and 46.16A.040.</w:t>
      </w:r>
    </w:p>
    <w:p>
      <w:pPr>
        <w:spacing w:before="0" w:after="0" w:line="408" w:lineRule="exact"/>
        <w:ind w:left="0" w:right="0" w:firstLine="576"/>
        <w:jc w:val="left"/>
      </w:pPr>
      <w:r>
        <w:rPr/>
        <w:t xml:space="preserve">(8)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400</w:t>
      </w:r>
      <w:r>
        <w:rPr/>
        <w:t xml:space="preserve"> and 2010 c 161 s 819 are each amended to read as follows:</w:t>
      </w:r>
    </w:p>
    <w:p>
      <w:pPr>
        <w:spacing w:before="0" w:after="0" w:line="408" w:lineRule="exact"/>
        <w:ind w:left="0" w:right="0" w:firstLine="576"/>
        <w:jc w:val="left"/>
      </w:pPr>
      <w:r>
        <w:rPr/>
        <w:t xml:space="preserve">A filing fee established in RCW 46.17.005 must be distributed as follows:</w:t>
      </w:r>
    </w:p>
    <w:p>
      <w:pPr>
        <w:spacing w:before="0" w:after="0" w:line="408" w:lineRule="exact"/>
        <w:ind w:left="0" w:right="0" w:firstLine="576"/>
        <w:jc w:val="left"/>
      </w:pPr>
      <w:r>
        <w:rPr/>
        <w:t xml:space="preserve">(1) If paid to the county auditor or other agent or subagent appointed by the director, </w:t>
      </w:r>
      <w:r>
        <w:rPr>
          <w:u w:val="single"/>
        </w:rPr>
        <w:t xml:space="preserve">or to an organization as authorized under section 1 of this act or its designee,</w:t>
      </w:r>
      <w:r>
        <w:rPr/>
        <w:t xml:space="preserve"> the fee must be distributed to the county treasurer and credited to the county current expense fund.</w:t>
      </w:r>
    </w:p>
    <w:p>
      <w:pPr>
        <w:spacing w:before="0" w:after="0" w:line="408" w:lineRule="exact"/>
        <w:ind w:left="0" w:right="0" w:firstLine="576"/>
        <w:jc w:val="left"/>
      </w:pPr>
      <w:r>
        <w:rPr/>
        <w:t xml:space="preserve">(2) If the fee is paid to another agent of the director, the fee must be used by the agent to defray his or her expenses in handling the application.</w:t>
      </w:r>
    </w:p>
    <w:p>
      <w:pPr>
        <w:spacing w:before="0" w:after="0" w:line="408" w:lineRule="exact"/>
        <w:ind w:left="0" w:right="0" w:firstLine="576"/>
        <w:jc w:val="left"/>
      </w:pPr>
      <w:r>
        <w:rPr/>
        <w:t xml:space="preserve">(3) If the fee is collected by the state patrol as agent for the director, the fee must be certified to the state treasurer and deposited to the credit of the state patrol highway account.</w:t>
      </w:r>
    </w:p>
    <w:p>
      <w:pPr>
        <w:spacing w:before="0" w:after="0" w:line="408" w:lineRule="exact"/>
        <w:ind w:left="0" w:right="0" w:firstLine="576"/>
        <w:jc w:val="left"/>
      </w:pPr>
      <w:r>
        <w:rPr/>
        <w:t xml:space="preserve">(4) If the fee is collected by the department of transportation as agent for the director, the fee must be certified to the state treasurer and deposited to the credit of the motor vehicle fund created in RCW 46.68.070.</w:t>
      </w:r>
    </w:p>
    <w:p>
      <w:pPr>
        <w:spacing w:before="0" w:after="0" w:line="408" w:lineRule="exact"/>
        <w:ind w:left="0" w:right="0" w:firstLine="576"/>
        <w:jc w:val="left"/>
      </w:pPr>
      <w:r>
        <w:rPr/>
        <w:t xml:space="preserve">(5) If the fee is collected by the director or branches of the department, the fee must be certified to the state treasurer and deposited to the credit of the highway safety fund, except that two dollars of the fee must be deposited into the multimodal transportation account if the fee is collected in conjunction with RCW 46.17.350(1) (c) or (k) or 46.17.355.</w:t>
      </w:r>
    </w:p>
    <w:p/>
    <w:p>
      <w:pPr>
        <w:jc w:val="center"/>
      </w:pPr>
      <w:r>
        <w:rPr>
          <w:b/>
        </w:rPr>
        <w:t>--- END ---</w:t>
      </w:r>
    </w:p>
    <w:sectPr>
      <w:pgNumType w:start="1"/>
      <w:footerReference xmlns:r="http://schemas.openxmlformats.org/officeDocument/2006/relationships" r:id="R038bfdc18159461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60518423a548ee" /><Relationship Type="http://schemas.openxmlformats.org/officeDocument/2006/relationships/footer" Target="/word/footer.xml" Id="R038bfdc18159461c" /></Relationships>
</file>